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4EE17D" w14:textId="77777777" w:rsidR="000E675A" w:rsidRDefault="00000000">
      <w:pPr>
        <w:widowControl/>
        <w:spacing w:after="60" w:line="320" w:lineRule="exact"/>
        <w:outlineLvl w:val="0"/>
        <w:rPr>
          <w:rFonts w:ascii="Times New Roman" w:eastAsia="PMingLiU" w:hAnsi="Times New Roman" w:cs="Times New Roman"/>
          <w:b/>
          <w:bCs/>
          <w:kern w:val="36"/>
          <w:szCs w:val="24"/>
        </w:rPr>
      </w:pPr>
      <w:r>
        <w:rPr>
          <w:rFonts w:ascii="Times New Roman" w:eastAsia="PMingLiU" w:hAnsi="Times New Roman" w:cs="Times New Roman"/>
          <w:b/>
          <w:bCs/>
          <w:kern w:val="36"/>
          <w:szCs w:val="24"/>
        </w:rPr>
        <w:t>Supplementary Information</w:t>
      </w:r>
    </w:p>
    <w:p w14:paraId="412D7158"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S1. Cell culture, authentication, and routine quality control (expanded)</w:t>
      </w:r>
    </w:p>
    <w:p w14:paraId="07621D41"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S1.1 Cell lines and provenance</w:t>
      </w:r>
    </w:p>
    <w:p w14:paraId="5A0909BF"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PLC/PRF/5 (BCRC, 60223; </w:t>
      </w:r>
      <w:proofErr w:type="gramStart"/>
      <w:r>
        <w:rPr>
          <w:rFonts w:ascii="Times New Roman" w:eastAsia="PMingLiU" w:hAnsi="Times New Roman" w:cs="Times New Roman"/>
          <w:kern w:val="0"/>
          <w:szCs w:val="24"/>
        </w:rPr>
        <w:t>RRID:CVCL</w:t>
      </w:r>
      <w:proofErr w:type="gramEnd"/>
      <w:r>
        <w:rPr>
          <w:rFonts w:ascii="Times New Roman" w:eastAsia="PMingLiU" w:hAnsi="Times New Roman" w:cs="Times New Roman"/>
          <w:kern w:val="0"/>
          <w:szCs w:val="24"/>
        </w:rPr>
        <w:t xml:space="preserve">_0485) and HepG2 (BCRC, 60025; </w:t>
      </w:r>
      <w:proofErr w:type="gramStart"/>
      <w:r>
        <w:rPr>
          <w:rFonts w:ascii="Times New Roman" w:eastAsia="PMingLiU" w:hAnsi="Times New Roman" w:cs="Times New Roman"/>
          <w:kern w:val="0"/>
          <w:szCs w:val="24"/>
        </w:rPr>
        <w:t>RRID:CVCL</w:t>
      </w:r>
      <w:proofErr w:type="gramEnd"/>
      <w:r>
        <w:rPr>
          <w:rFonts w:ascii="Times New Roman" w:eastAsia="PMingLiU" w:hAnsi="Times New Roman" w:cs="Times New Roman"/>
          <w:kern w:val="0"/>
          <w:szCs w:val="24"/>
        </w:rPr>
        <w:t xml:space="preserve">_0027) were obtained from the Bioresource Collection and Research Center (BCRC, Hsinchu, Taiwan). THLE-2 (ATCC, CRL-2706; </w:t>
      </w:r>
      <w:proofErr w:type="gramStart"/>
      <w:r>
        <w:rPr>
          <w:rFonts w:ascii="Times New Roman" w:eastAsia="PMingLiU" w:hAnsi="Times New Roman" w:cs="Times New Roman"/>
          <w:kern w:val="0"/>
          <w:szCs w:val="24"/>
        </w:rPr>
        <w:t>RRID:CVCL</w:t>
      </w:r>
      <w:proofErr w:type="gramEnd"/>
      <w:r>
        <w:rPr>
          <w:rFonts w:ascii="Times New Roman" w:eastAsia="PMingLiU" w:hAnsi="Times New Roman" w:cs="Times New Roman"/>
          <w:kern w:val="0"/>
          <w:szCs w:val="24"/>
        </w:rPr>
        <w:t xml:space="preserve">_3803) and THP-1 (ATCC, TIB-202; </w:t>
      </w:r>
      <w:proofErr w:type="gramStart"/>
      <w:r>
        <w:rPr>
          <w:rFonts w:ascii="Times New Roman" w:eastAsia="PMingLiU" w:hAnsi="Times New Roman" w:cs="Times New Roman"/>
          <w:kern w:val="0"/>
          <w:szCs w:val="24"/>
        </w:rPr>
        <w:t>RRID:CVCL</w:t>
      </w:r>
      <w:proofErr w:type="gramEnd"/>
      <w:r>
        <w:rPr>
          <w:rFonts w:ascii="Times New Roman" w:eastAsia="PMingLiU" w:hAnsi="Times New Roman" w:cs="Times New Roman"/>
          <w:kern w:val="0"/>
          <w:szCs w:val="24"/>
        </w:rPr>
        <w:t>_0006) were obtained from ATCC (Manassas, VA, USA).</w:t>
      </w:r>
    </w:p>
    <w:p w14:paraId="27C7DB00"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S1.2 Authentication and contamination testing</w:t>
      </w:r>
    </w:p>
    <w:p w14:paraId="39295715"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Cell identity was confirmed by short tandem repeat (STR) profiling (when applicable) and cultures were routinely confirmed mycoplasma-free using the </w:t>
      </w:r>
      <w:proofErr w:type="spellStart"/>
      <w:r>
        <w:rPr>
          <w:rFonts w:ascii="Times New Roman" w:eastAsia="PMingLiU" w:hAnsi="Times New Roman" w:cs="Times New Roman"/>
          <w:kern w:val="0"/>
          <w:szCs w:val="24"/>
        </w:rPr>
        <w:t>LookOut</w:t>
      </w:r>
      <w:proofErr w:type="spellEnd"/>
      <w:r>
        <w:rPr>
          <w:rFonts w:ascii="Times New Roman" w:eastAsia="PMingLiU" w:hAnsi="Times New Roman" w:cs="Times New Roman"/>
          <w:kern w:val="0"/>
          <w:szCs w:val="24"/>
        </w:rPr>
        <w:t>® One-Step Mycoplasma PCR Detection kit (Applied Biological Materials Inc. [</w:t>
      </w:r>
      <w:proofErr w:type="spellStart"/>
      <w:r>
        <w:rPr>
          <w:rFonts w:ascii="Times New Roman" w:eastAsia="PMingLiU" w:hAnsi="Times New Roman" w:cs="Times New Roman"/>
          <w:kern w:val="0"/>
          <w:szCs w:val="24"/>
        </w:rPr>
        <w:t>abm</w:t>
      </w:r>
      <w:proofErr w:type="spellEnd"/>
      <w:r>
        <w:rPr>
          <w:rFonts w:ascii="Times New Roman" w:eastAsia="PMingLiU" w:hAnsi="Times New Roman" w:cs="Times New Roman"/>
          <w:kern w:val="0"/>
          <w:szCs w:val="24"/>
        </w:rPr>
        <w:t>], G238, Richmond, BC, Canada) according to the manufacturer’s instructions. Cells were used within a controlled passage window to minimize drift (record passage ranges in lab notebook and/or state typical range in manuscript).</w:t>
      </w:r>
    </w:p>
    <w:p w14:paraId="01FE906F"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 xml:space="preserve">S1.3 Routine culture conditions and </w:t>
      </w:r>
      <w:proofErr w:type="gramStart"/>
      <w:r>
        <w:rPr>
          <w:rFonts w:ascii="Times New Roman" w:eastAsia="PMingLiU" w:hAnsi="Times New Roman" w:cs="Times New Roman"/>
          <w:b/>
          <w:bCs/>
          <w:kern w:val="0"/>
          <w:szCs w:val="24"/>
        </w:rPr>
        <w:t>passaging</w:t>
      </w:r>
      <w:proofErr w:type="gramEnd"/>
    </w:p>
    <w:p w14:paraId="1DF79099"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PLC/PRF/5 and HepG2 were maintained in Dulbecco’s modified Eagle medium (DMEM, Gibco, </w:t>
      </w:r>
      <w:proofErr w:type="spellStart"/>
      <w:r>
        <w:rPr>
          <w:rFonts w:ascii="Times New Roman" w:eastAsia="PMingLiU" w:hAnsi="Times New Roman" w:cs="Times New Roman"/>
          <w:kern w:val="0"/>
          <w:szCs w:val="24"/>
        </w:rPr>
        <w:t>Thermo</w:t>
      </w:r>
      <w:proofErr w:type="spellEnd"/>
      <w:r>
        <w:rPr>
          <w:rFonts w:ascii="Times New Roman" w:eastAsia="PMingLiU" w:hAnsi="Times New Roman" w:cs="Times New Roman"/>
          <w:kern w:val="0"/>
          <w:szCs w:val="24"/>
        </w:rPr>
        <w:t xml:space="preserve"> Fisher Scientific, 12100046, Waltham, MA, USA) supplemented with 10% FBS (Gibco, 16000-044) and 1% penicillin–streptomycin (P/S; Gibco, 15140-122). THLE-2 were maintained in BEGM® </w:t>
      </w:r>
      <w:proofErr w:type="spellStart"/>
      <w:r>
        <w:rPr>
          <w:rFonts w:ascii="Times New Roman" w:eastAsia="PMingLiU" w:hAnsi="Times New Roman" w:cs="Times New Roman"/>
          <w:kern w:val="0"/>
          <w:szCs w:val="24"/>
        </w:rPr>
        <w:t>BulletKit</w:t>
      </w:r>
      <w:proofErr w:type="spellEnd"/>
      <w:r>
        <w:rPr>
          <w:rFonts w:ascii="Times New Roman" w:eastAsia="PMingLiU" w:hAnsi="Times New Roman" w:cs="Times New Roman"/>
          <w:kern w:val="0"/>
          <w:szCs w:val="24"/>
        </w:rPr>
        <w:t xml:space="preserve"> (Lonza CC-3170, Walkersville, MD, USA) prepared from BEBM® basal medium (Lonza, CC-3171) and </w:t>
      </w:r>
      <w:proofErr w:type="spellStart"/>
      <w:r>
        <w:rPr>
          <w:rFonts w:ascii="Times New Roman" w:eastAsia="PMingLiU" w:hAnsi="Times New Roman" w:cs="Times New Roman"/>
          <w:kern w:val="0"/>
          <w:szCs w:val="24"/>
        </w:rPr>
        <w:t>SingleQuots</w:t>
      </w:r>
      <w:proofErr w:type="spellEnd"/>
      <w:r>
        <w:rPr>
          <w:rFonts w:ascii="Times New Roman" w:eastAsia="PMingLiU" w:hAnsi="Times New Roman" w:cs="Times New Roman"/>
          <w:kern w:val="0"/>
          <w:szCs w:val="24"/>
        </w:rPr>
        <w:t xml:space="preserve">® supplements (Lonza, CC-4175), prepared </w:t>
      </w:r>
      <w:r>
        <w:rPr>
          <w:rFonts w:ascii="Times New Roman" w:eastAsia="PMingLiU" w:hAnsi="Times New Roman" w:cs="Times New Roman"/>
          <w:bCs/>
          <w:kern w:val="0"/>
          <w:szCs w:val="24"/>
        </w:rPr>
        <w:t>without</w:t>
      </w:r>
      <w:r>
        <w:rPr>
          <w:rFonts w:ascii="Times New Roman" w:eastAsia="PMingLiU" w:hAnsi="Times New Roman" w:cs="Times New Roman"/>
          <w:kern w:val="0"/>
          <w:szCs w:val="24"/>
        </w:rPr>
        <w:t xml:space="preserve"> gentamicin/amphotericin B and epinephrine and supplemented with epidermal growth factor (EGF, Merck Millipore, 01-107/01-407, Burlington, Massachusetts, USA, final 5 ng/mL), </w:t>
      </w:r>
      <w:proofErr w:type="spellStart"/>
      <w:r>
        <w:rPr>
          <w:rFonts w:ascii="Times New Roman" w:eastAsia="PMingLiU" w:hAnsi="Times New Roman" w:cs="Times New Roman"/>
          <w:kern w:val="0"/>
          <w:szCs w:val="24"/>
        </w:rPr>
        <w:t>phosphoethanolamine</w:t>
      </w:r>
      <w:proofErr w:type="spellEnd"/>
      <w:r>
        <w:rPr>
          <w:rFonts w:ascii="Times New Roman" w:eastAsia="PMingLiU" w:hAnsi="Times New Roman" w:cs="Times New Roman"/>
          <w:kern w:val="0"/>
          <w:szCs w:val="24"/>
        </w:rPr>
        <w:t xml:space="preserve"> (Sigma-Aldrich, P0503, St. Louis, MO, USA, final 70 ng/mL), 10% fetal bovine serum (FBS, , Gibco, 11965-092) and 1% penicillin–streptomycin (P/S, Gibco, 15140-122).</w:t>
      </w:r>
    </w:p>
    <w:p w14:paraId="3D72FFBF"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Cells were maintained at 37 °C in a humidified incubator with 5% CO₂. For passaging, cultures were washed with PBS, detached using </w:t>
      </w:r>
      <w:proofErr w:type="spellStart"/>
      <w:r>
        <w:rPr>
          <w:rFonts w:ascii="Times New Roman" w:eastAsia="PMingLiU" w:hAnsi="Times New Roman" w:cs="Times New Roman"/>
          <w:kern w:val="0"/>
          <w:szCs w:val="24"/>
        </w:rPr>
        <w:t>TrypLE</w:t>
      </w:r>
      <w:proofErr w:type="spellEnd"/>
      <w:r>
        <w:rPr>
          <w:rFonts w:ascii="Times New Roman" w:eastAsia="PMingLiU" w:hAnsi="Times New Roman" w:cs="Times New Roman"/>
          <w:kern w:val="0"/>
          <w:szCs w:val="24"/>
        </w:rPr>
        <w:t>™ Express (Gibco Cat. #12604021), neutralized with complete DMEM (Gibco, 12100046) or BEBM (Lonza CC-3170) medium, centrifuged, and reseeded at a 1:3 split ratio for routine subculture. For viability assays, cells were plated at 3,000 cells/well in 96-well plates (as specified in Section 2.4 and figure legends). Cells were routinely examined by phase-contrast microscopy for morphology and confluence before experimental setup.</w:t>
      </w:r>
    </w:p>
    <w:p w14:paraId="7FCA1BC6"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S1.4 THP-1 differentiation and polarization (expanded)</w:t>
      </w:r>
    </w:p>
    <w:p w14:paraId="07986F86"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THP-1 were maintained in RPMI-1640 (Gibco Cat. #31800022) with 10% FBS and 1% PS. Differentiation into macrophage-like cells was induced with 100 </w:t>
      </w:r>
      <w:proofErr w:type="spellStart"/>
      <w:r>
        <w:rPr>
          <w:rFonts w:ascii="Times New Roman" w:eastAsia="PMingLiU" w:hAnsi="Times New Roman" w:cs="Times New Roman"/>
          <w:kern w:val="0"/>
          <w:szCs w:val="24"/>
        </w:rPr>
        <w:t>nM</w:t>
      </w:r>
      <w:proofErr w:type="spellEnd"/>
      <w:r>
        <w:rPr>
          <w:rFonts w:ascii="Times New Roman" w:eastAsia="PMingLiU" w:hAnsi="Times New Roman" w:cs="Times New Roman"/>
          <w:kern w:val="0"/>
          <w:szCs w:val="24"/>
        </w:rPr>
        <w:t xml:space="preserve"> PMA (Sigma-Aldrich Cat. No. 79346; CAS: 16561-29-8) for 24 h. Cells were then washed and rested in PMA-free medium as needed (optional rest period may be specified if used). Polarization was performed for 48 h as follows:</w:t>
      </w:r>
    </w:p>
    <w:p w14:paraId="7DFB0D11" w14:textId="77777777" w:rsidR="000E675A" w:rsidRDefault="00000000">
      <w:pPr>
        <w:widowControl/>
        <w:numPr>
          <w:ilvl w:val="0"/>
          <w:numId w:val="1"/>
        </w:numPr>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M1: IFN-γ 2 ng/mL (R&amp;D Systems, 285-IF, Minneapolis, MN, USA, final 2 ng/mL) + LPS 100 </w:t>
      </w:r>
      <w:proofErr w:type="gramStart"/>
      <w:r>
        <w:rPr>
          <w:rFonts w:ascii="Times New Roman" w:eastAsia="PMingLiU" w:hAnsi="Times New Roman" w:cs="Times New Roman"/>
          <w:kern w:val="0"/>
          <w:szCs w:val="24"/>
        </w:rPr>
        <w:t>ng</w:t>
      </w:r>
      <w:proofErr w:type="gramEnd"/>
      <w:r>
        <w:rPr>
          <w:rFonts w:ascii="Times New Roman" w:eastAsia="PMingLiU" w:hAnsi="Times New Roman" w:cs="Times New Roman"/>
          <w:kern w:val="0"/>
          <w:szCs w:val="24"/>
        </w:rPr>
        <w:t>/mL (Sigma-Aldrich, L2630, final 100 ng/mL)</w:t>
      </w:r>
    </w:p>
    <w:p w14:paraId="23313785" w14:textId="77777777" w:rsidR="000E675A" w:rsidRDefault="00000000">
      <w:pPr>
        <w:widowControl/>
        <w:numPr>
          <w:ilvl w:val="0"/>
          <w:numId w:val="1"/>
        </w:numPr>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M2: IL-4 20 ng/mL (Sigma-Aldrich, I4269)</w:t>
      </w:r>
    </w:p>
    <w:p w14:paraId="322BA3FD" w14:textId="77777777" w:rsidR="000E675A" w:rsidRDefault="000E675A">
      <w:pPr>
        <w:widowControl/>
        <w:spacing w:after="60" w:line="320" w:lineRule="exact"/>
        <w:outlineLvl w:val="1"/>
        <w:rPr>
          <w:rFonts w:ascii="Times New Roman" w:eastAsia="PMingLiU" w:hAnsi="Times New Roman" w:cs="Times New Roman"/>
          <w:kern w:val="0"/>
          <w:szCs w:val="24"/>
        </w:rPr>
      </w:pPr>
    </w:p>
    <w:p w14:paraId="4F3EDD01"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S2. Taiwan propolis: source, extraction, stock preparation, storage, and working solutions (expanded)</w:t>
      </w:r>
    </w:p>
    <w:p w14:paraId="39B13CC4"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S2.1 Source and traceability</w:t>
      </w:r>
    </w:p>
    <w:p w14:paraId="5F74F707"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Raw Taiwan propolis (Apis mellifera; Taiwan origin) was obtained as a research-grade material from </w:t>
      </w:r>
      <w:proofErr w:type="spellStart"/>
      <w:r>
        <w:rPr>
          <w:rFonts w:ascii="Times New Roman" w:eastAsia="PMingLiU" w:hAnsi="Times New Roman" w:cs="Times New Roman"/>
          <w:kern w:val="0"/>
          <w:szCs w:val="24"/>
        </w:rPr>
        <w:t>GoldWise</w:t>
      </w:r>
      <w:proofErr w:type="spellEnd"/>
      <w:r>
        <w:rPr>
          <w:rFonts w:ascii="Times New Roman" w:eastAsia="PMingLiU" w:hAnsi="Times New Roman" w:cs="Times New Roman"/>
          <w:kern w:val="0"/>
          <w:szCs w:val="24"/>
        </w:rPr>
        <w:t xml:space="preserve"> Co., Ltd. (Taipei City, Taiwan). A single preparation batch was used for all experiments. Batch ID, receipt date, and extraction yield were documented internally for traceability.</w:t>
      </w:r>
    </w:p>
    <w:p w14:paraId="2535C0DB"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lastRenderedPageBreak/>
        <w:t>S2.2 Extraction procedure</w:t>
      </w:r>
    </w:p>
    <w:p w14:paraId="1A3447F6"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Propolis was extracted in 75% (v/v) ethanol at a raw-to-solvent ratio of 1 kg:5 L (equivalent to 200 mg raw material/mL solvent). The mixture was agitated at 40 °C (80 rpm) for 30–60 min. The extract was clarified by coarse filtration and subsequently </w:t>
      </w:r>
      <w:proofErr w:type="gramStart"/>
      <w:r>
        <w:rPr>
          <w:rFonts w:ascii="Times New Roman" w:eastAsia="PMingLiU" w:hAnsi="Times New Roman" w:cs="Times New Roman"/>
          <w:kern w:val="0"/>
          <w:szCs w:val="24"/>
        </w:rPr>
        <w:t>sterile-filtered</w:t>
      </w:r>
      <w:proofErr w:type="gramEnd"/>
      <w:r>
        <w:rPr>
          <w:rFonts w:ascii="Times New Roman" w:eastAsia="PMingLiU" w:hAnsi="Times New Roman" w:cs="Times New Roman"/>
          <w:kern w:val="0"/>
          <w:szCs w:val="24"/>
        </w:rPr>
        <w:t xml:space="preserve"> through a 0.22 µm filter. The resulting extract stock was defined as 200 mg/mL (w/v; raw-material equivalents).</w:t>
      </w:r>
    </w:p>
    <w:p w14:paraId="62B956E5"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S2.3 Storage and handling</w:t>
      </w:r>
    </w:p>
    <w:p w14:paraId="7B4787AC"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Stock was stored protected from light at room temperature. Immediately before use, working solutions were prepared by diluting the stock into culture medium to the indicated concentrations. Final ethanol content was matched across all treatment groups and maintained at ≤0.1% (v/v), including vehicle controls.</w:t>
      </w:r>
    </w:p>
    <w:p w14:paraId="022CD4B0"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S2.4 Unit conversion for reporting</w:t>
      </w:r>
    </w:p>
    <w:p w14:paraId="0CE81984"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Propolis dosing was reported as a fold-dilution of the 200 mg/mL stock and optionally converted to raw-equivalent mass concentration. For example, 1×10</w:t>
      </w:r>
      <w:r>
        <w:rPr>
          <w:rFonts w:ascii="Times New Roman" w:eastAsia="MS Gothic" w:hAnsi="Times New Roman" w:cs="Times New Roman"/>
          <w:kern w:val="0"/>
          <w:szCs w:val="24"/>
        </w:rPr>
        <w:t>⁻⁴</w:t>
      </w:r>
      <w:r>
        <w:rPr>
          <w:rFonts w:ascii="Times New Roman" w:eastAsia="PMingLiU" w:hAnsi="Times New Roman" w:cs="Times New Roman"/>
          <w:kern w:val="0"/>
          <w:szCs w:val="24"/>
        </w:rPr>
        <w:t xml:space="preserve"> corresponds to 20 </w:t>
      </w:r>
      <w:proofErr w:type="gramStart"/>
      <w:r>
        <w:rPr>
          <w:rFonts w:ascii="Times New Roman" w:eastAsia="PMingLiU" w:hAnsi="Times New Roman" w:cs="Times New Roman"/>
          <w:kern w:val="0"/>
          <w:szCs w:val="24"/>
        </w:rPr>
        <w:t>µg</w:t>
      </w:r>
      <w:proofErr w:type="gramEnd"/>
      <w:r>
        <w:rPr>
          <w:rFonts w:ascii="Times New Roman" w:eastAsia="PMingLiU" w:hAnsi="Times New Roman" w:cs="Times New Roman"/>
          <w:kern w:val="0"/>
          <w:szCs w:val="24"/>
        </w:rPr>
        <w:t xml:space="preserve">/mL and </w:t>
      </w:r>
      <w:proofErr w:type="gramStart"/>
      <w:r>
        <w:rPr>
          <w:rFonts w:ascii="Times New Roman" w:eastAsia="PMingLiU" w:hAnsi="Times New Roman" w:cs="Times New Roman"/>
          <w:kern w:val="0"/>
          <w:szCs w:val="24"/>
        </w:rPr>
        <w:t>0.3×10</w:t>
      </w:r>
      <w:r>
        <w:rPr>
          <w:rFonts w:ascii="Times New Roman" w:eastAsia="MS Gothic" w:hAnsi="Times New Roman" w:cs="Times New Roman"/>
          <w:kern w:val="0"/>
          <w:szCs w:val="24"/>
        </w:rPr>
        <w:t>⁻⁴</w:t>
      </w:r>
      <w:proofErr w:type="gramEnd"/>
      <w:r>
        <w:rPr>
          <w:rFonts w:ascii="Times New Roman" w:eastAsia="PMingLiU" w:hAnsi="Times New Roman" w:cs="Times New Roman"/>
          <w:kern w:val="0"/>
          <w:szCs w:val="24"/>
        </w:rPr>
        <w:t xml:space="preserve"> corresponds to 6 </w:t>
      </w:r>
      <w:proofErr w:type="gramStart"/>
      <w:r>
        <w:rPr>
          <w:rFonts w:ascii="Times New Roman" w:eastAsia="PMingLiU" w:hAnsi="Times New Roman" w:cs="Times New Roman"/>
          <w:kern w:val="0"/>
          <w:szCs w:val="24"/>
        </w:rPr>
        <w:t>µg</w:t>
      </w:r>
      <w:proofErr w:type="gramEnd"/>
      <w:r>
        <w:rPr>
          <w:rFonts w:ascii="Times New Roman" w:eastAsia="PMingLiU" w:hAnsi="Times New Roman" w:cs="Times New Roman"/>
          <w:kern w:val="0"/>
          <w:szCs w:val="24"/>
        </w:rPr>
        <w:t>/mL (</w:t>
      </w:r>
      <w:proofErr w:type="gramStart"/>
      <w:r>
        <w:rPr>
          <w:rFonts w:ascii="Times New Roman" w:eastAsia="PMingLiU" w:hAnsi="Times New Roman" w:cs="Times New Roman"/>
          <w:kern w:val="0"/>
          <w:szCs w:val="24"/>
        </w:rPr>
        <w:t>raw-equivalent</w:t>
      </w:r>
      <w:proofErr w:type="gramEnd"/>
      <w:r>
        <w:rPr>
          <w:rFonts w:ascii="Times New Roman" w:eastAsia="PMingLiU" w:hAnsi="Times New Roman" w:cs="Times New Roman"/>
          <w:kern w:val="0"/>
          <w:szCs w:val="24"/>
        </w:rPr>
        <w:t>).</w:t>
      </w:r>
    </w:p>
    <w:p w14:paraId="3F278B90" w14:textId="77777777" w:rsidR="000E675A" w:rsidRDefault="000E675A">
      <w:pPr>
        <w:widowControl/>
        <w:spacing w:after="60" w:line="320" w:lineRule="exact"/>
        <w:outlineLvl w:val="1"/>
        <w:rPr>
          <w:rFonts w:ascii="Times New Roman" w:eastAsia="PMingLiU" w:hAnsi="Times New Roman" w:cs="Times New Roman"/>
          <w:kern w:val="0"/>
          <w:szCs w:val="24"/>
        </w:rPr>
      </w:pPr>
    </w:p>
    <w:p w14:paraId="6B21DD08"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S3. Fatty acid (FA) preparation and FA-enriched culture conditions (expanded)</w:t>
      </w:r>
    </w:p>
    <w:p w14:paraId="0D2962A3"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S3.1 Reagents</w:t>
      </w:r>
    </w:p>
    <w:p w14:paraId="07B9BBE5"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Oleic acid (OA; Sigma-Aldrich/Merck Cat. #O1008) and palmitic acid (PA; Sigma-Aldrich/Merck Cat. #P0500) were prepared as BSA-conjugated stocks using fatty acid–free BSA </w:t>
      </w:r>
      <w:bookmarkStart w:id="0" w:name="_Hlk220397572"/>
      <w:r>
        <w:rPr>
          <w:rFonts w:ascii="Times New Roman" w:eastAsia="PMingLiU" w:hAnsi="Times New Roman" w:cs="Times New Roman"/>
          <w:kern w:val="0"/>
          <w:szCs w:val="24"/>
        </w:rPr>
        <w:t>(Sigma-Aldrich/Merck Cat. #A8806)</w:t>
      </w:r>
      <w:bookmarkEnd w:id="0"/>
      <w:r>
        <w:rPr>
          <w:rFonts w:ascii="Times New Roman" w:eastAsia="PMingLiU" w:hAnsi="Times New Roman" w:cs="Times New Roman"/>
          <w:kern w:val="0"/>
          <w:szCs w:val="24"/>
        </w:rPr>
        <w:t>. Ethanol served as the initial solvent for OA/PA dissolution.</w:t>
      </w:r>
    </w:p>
    <w:p w14:paraId="7B69E7E6"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S3.2 Preparation of BSA-conjugated FA stocks</w:t>
      </w:r>
    </w:p>
    <w:p w14:paraId="28F26D19"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OA and PA were dissolved in ethanol and conjugated to 5% (w/v) fatty acid–free BSA prepared in serum-free DMEM (for PLC/PRF/5 and HepG2) or BEBM (for THLE-2), yielding 6 mM OA and 2.5 mM PA stock solutions. Aliquots were stored at </w:t>
      </w:r>
      <w:r>
        <w:rPr>
          <w:rFonts w:ascii="Times New Roman" w:eastAsia="MS Gothic" w:hAnsi="Times New Roman" w:cs="Times New Roman"/>
          <w:kern w:val="0"/>
          <w:szCs w:val="24"/>
        </w:rPr>
        <w:t>−</w:t>
      </w:r>
      <w:r>
        <w:rPr>
          <w:rFonts w:ascii="Times New Roman" w:eastAsia="PMingLiU" w:hAnsi="Times New Roman" w:cs="Times New Roman"/>
          <w:kern w:val="0"/>
          <w:szCs w:val="24"/>
        </w:rPr>
        <w:t>20 °C and thawed immediately before use. Stocks were mixed thoroughly to ensure homogeneity prior to dilution.</w:t>
      </w:r>
    </w:p>
    <w:p w14:paraId="77502C60"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S3.3 Working FA medium and vehicle controls</w:t>
      </w:r>
    </w:p>
    <w:p w14:paraId="59C345FA"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FA-enriched working medium was freshly prepared by diluting stocks into the corresponding culture medium to final concentrations of 0.5 mM OA + 0.25 mM PA. FA exposure was applied concurrently with drug treatment unless otherwise specified. Vehicle-matched controls contained fatty acid–free BSA and ethanol at concentrations matched to FA conditions, with ethanol maintained at ≤0.1% (v/v) across all groups.</w:t>
      </w:r>
    </w:p>
    <w:p w14:paraId="33605F43" w14:textId="77777777" w:rsidR="000E675A" w:rsidRDefault="000E675A">
      <w:pPr>
        <w:widowControl/>
        <w:spacing w:after="60" w:line="320" w:lineRule="exact"/>
        <w:outlineLvl w:val="1"/>
        <w:rPr>
          <w:rFonts w:ascii="Times New Roman" w:eastAsia="PMingLiU" w:hAnsi="Times New Roman" w:cs="Times New Roman"/>
          <w:kern w:val="0"/>
          <w:szCs w:val="24"/>
        </w:rPr>
      </w:pPr>
    </w:p>
    <w:p w14:paraId="13336635"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S4. Cell viability assay (CCK-8): plating, treatment schedule, and calculation (expanded)</w:t>
      </w:r>
    </w:p>
    <w:p w14:paraId="35E4C311"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Cells were seeded in 96-well plates at 3,000 cells/well and allowed to adhere overnight. Treatments (single agents or PMR combinations) were applied ± FA for the indicated duration (typically 72 h unless stated otherwise in figure legends). CCK-8 reagent (</w:t>
      </w:r>
      <w:proofErr w:type="spellStart"/>
      <w:r>
        <w:rPr>
          <w:rFonts w:ascii="Times New Roman" w:eastAsia="PMingLiU" w:hAnsi="Times New Roman" w:cs="Times New Roman"/>
          <w:kern w:val="0"/>
          <w:szCs w:val="24"/>
        </w:rPr>
        <w:t>Dojindo</w:t>
      </w:r>
      <w:proofErr w:type="spellEnd"/>
      <w:r>
        <w:rPr>
          <w:rFonts w:ascii="Times New Roman" w:eastAsia="PMingLiU" w:hAnsi="Times New Roman" w:cs="Times New Roman"/>
          <w:kern w:val="0"/>
          <w:szCs w:val="24"/>
        </w:rPr>
        <w:t xml:space="preserve"> Cat. #CK04)</w:t>
      </w:r>
      <w:bookmarkStart w:id="1" w:name="_Hlk220399037"/>
      <w:r>
        <w:rPr>
          <w:rFonts w:ascii="Times New Roman" w:eastAsia="PMingLiU" w:hAnsi="Times New Roman" w:cs="Times New Roman"/>
          <w:kern w:val="0"/>
          <w:szCs w:val="24"/>
        </w:rPr>
        <w:t xml:space="preserve"> was added at 10 µL per well</w:t>
      </w:r>
      <w:bookmarkEnd w:id="1"/>
      <w:r>
        <w:rPr>
          <w:rFonts w:ascii="Times New Roman" w:eastAsia="PMingLiU" w:hAnsi="Times New Roman" w:cs="Times New Roman"/>
          <w:kern w:val="0"/>
          <w:szCs w:val="24"/>
        </w:rPr>
        <w:t xml:space="preserve"> and incubated for 2 h at 37 °C, then absorbance at 450 nm was measured. Background subtraction was performed using medium-only </w:t>
      </w:r>
      <w:proofErr w:type="gramStart"/>
      <w:r>
        <w:rPr>
          <w:rFonts w:ascii="Times New Roman" w:eastAsia="PMingLiU" w:hAnsi="Times New Roman" w:cs="Times New Roman"/>
          <w:kern w:val="0"/>
          <w:szCs w:val="24"/>
        </w:rPr>
        <w:t>wells processed</w:t>
      </w:r>
      <w:proofErr w:type="gramEnd"/>
      <w:r>
        <w:rPr>
          <w:rFonts w:ascii="Times New Roman" w:eastAsia="PMingLiU" w:hAnsi="Times New Roman" w:cs="Times New Roman"/>
          <w:kern w:val="0"/>
          <w:szCs w:val="24"/>
        </w:rPr>
        <w:t xml:space="preserve"> identically. Viability was reported as percent of vehicle control within the same FA condition.</w:t>
      </w:r>
    </w:p>
    <w:p w14:paraId="241C256A" w14:textId="77777777" w:rsidR="000E675A" w:rsidRDefault="000E675A">
      <w:pPr>
        <w:widowControl/>
        <w:spacing w:after="60" w:line="320" w:lineRule="exact"/>
        <w:outlineLvl w:val="1"/>
        <w:rPr>
          <w:rFonts w:ascii="Times New Roman" w:eastAsia="PMingLiU" w:hAnsi="Times New Roman" w:cs="Times New Roman"/>
          <w:kern w:val="0"/>
          <w:szCs w:val="24"/>
        </w:rPr>
      </w:pPr>
    </w:p>
    <w:p w14:paraId="66D41CDC"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 xml:space="preserve">Supplementary Methods S5. PRS-OPT </w:t>
      </w:r>
      <w:proofErr w:type="gramStart"/>
      <w:r>
        <w:rPr>
          <w:rFonts w:ascii="Times New Roman" w:eastAsia="PMingLiU" w:hAnsi="Times New Roman" w:cs="Times New Roman"/>
          <w:b/>
          <w:bCs/>
          <w:kern w:val="0"/>
          <w:szCs w:val="24"/>
        </w:rPr>
        <w:t>dose</w:t>
      </w:r>
      <w:proofErr w:type="gramEnd"/>
      <w:r>
        <w:rPr>
          <w:rFonts w:ascii="Times New Roman" w:eastAsia="PMingLiU" w:hAnsi="Times New Roman" w:cs="Times New Roman"/>
          <w:b/>
          <w:bCs/>
          <w:kern w:val="0"/>
          <w:szCs w:val="24"/>
        </w:rPr>
        <w:t xml:space="preserve"> optimization (expanded)</w:t>
      </w:r>
      <w:bookmarkStart w:id="2" w:name="_Hlk208782650"/>
    </w:p>
    <w:p w14:paraId="72641D74" w14:textId="77777777" w:rsidR="000E675A" w:rsidRDefault="00000000">
      <w:pPr>
        <w:spacing w:afterLines="20" w:after="72" w:line="320" w:lineRule="exact"/>
        <w:ind w:firstLine="482"/>
        <w:jc w:val="both"/>
        <w:rPr>
          <w:rFonts w:ascii="Times New Roman" w:hAnsi="Times New Roman" w:cs="Times New Roman"/>
          <w:szCs w:val="24"/>
        </w:rPr>
      </w:pPr>
      <w:bookmarkStart w:id="3" w:name="_Toc204855128"/>
      <w:bookmarkStart w:id="4" w:name="_Toc204085843"/>
      <w:bookmarkEnd w:id="2"/>
      <w:r>
        <w:rPr>
          <w:rFonts w:ascii="Times New Roman" w:hAnsi="Times New Roman" w:cs="Times New Roman"/>
          <w:szCs w:val="24"/>
        </w:rPr>
        <w:t xml:space="preserve">Mean viability values from </w:t>
      </w:r>
      <w:r>
        <w:rPr>
          <w:rFonts w:ascii="Times New Roman" w:hAnsi="Times New Roman" w:cs="Times New Roman"/>
          <w:i/>
          <w:szCs w:val="24"/>
        </w:rPr>
        <w:t>in vitro</w:t>
      </w:r>
      <w:r>
        <w:rPr>
          <w:rFonts w:ascii="Times New Roman" w:hAnsi="Times New Roman" w:cs="Times New Roman"/>
          <w:szCs w:val="24"/>
        </w:rPr>
        <w:t xml:space="preserve"> combination experiments were used as inputs to the PRS-OPT workflow to fit multidrug dose–response surfaces and nominate </w:t>
      </w:r>
      <w:r>
        <w:rPr>
          <w:rFonts w:ascii="Times New Roman" w:hAnsi="Times New Roman" w:cs="Times New Roman"/>
          <w:i/>
          <w:szCs w:val="24"/>
        </w:rPr>
        <w:t>Propolis–Metformin–Regorafenib</w:t>
      </w:r>
      <w:r>
        <w:rPr>
          <w:rFonts w:ascii="Times New Roman" w:hAnsi="Times New Roman" w:cs="Times New Roman"/>
          <w:szCs w:val="24"/>
        </w:rPr>
        <w:t xml:space="preserve"> (PMR) </w:t>
      </w:r>
      <w:r>
        <w:rPr>
          <w:rFonts w:ascii="Times New Roman" w:hAnsi="Times New Roman" w:cs="Times New Roman"/>
          <w:szCs w:val="24"/>
        </w:rPr>
        <w:lastRenderedPageBreak/>
        <w:t xml:space="preserve">dose sets that prioritize tumor suppression while sparing normal hepatocytes. </w:t>
      </w:r>
      <w:proofErr w:type="gramStart"/>
      <w:r>
        <w:rPr>
          <w:rFonts w:ascii="Times New Roman" w:hAnsi="Times New Roman" w:cs="Times New Roman"/>
          <w:szCs w:val="24"/>
        </w:rPr>
        <w:t xml:space="preserve">For </w:t>
      </w:r>
      <w:r>
        <w:rPr>
          <w:rFonts w:ascii="Times New Roman" w:hAnsi="Times New Roman" w:cs="Times New Roman"/>
          <w:i/>
          <w:szCs w:val="24"/>
        </w:rPr>
        <w:t>in</w:t>
      </w:r>
      <w:proofErr w:type="gramEnd"/>
      <w:r>
        <w:rPr>
          <w:rFonts w:ascii="Times New Roman" w:hAnsi="Times New Roman" w:cs="Times New Roman"/>
          <w:i/>
          <w:szCs w:val="24"/>
        </w:rPr>
        <w:t xml:space="preserve"> vivo</w:t>
      </w:r>
      <w:r>
        <w:rPr>
          <w:rFonts w:ascii="Times New Roman" w:hAnsi="Times New Roman" w:cs="Times New Roman"/>
          <w:szCs w:val="24"/>
        </w:rPr>
        <w:t xml:space="preserve"> optimization, zebrafish imaging-derived hepatic macrophage infiltration metrics (macrophage density ratios at 15 days post-fertilization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relative to 9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or 12 </w:t>
      </w:r>
      <w:proofErr w:type="spellStart"/>
      <w:r>
        <w:rPr>
          <w:rFonts w:ascii="Times New Roman" w:hAnsi="Times New Roman" w:cs="Times New Roman"/>
          <w:szCs w:val="24"/>
        </w:rPr>
        <w:t>dpf</w:t>
      </w:r>
      <w:proofErr w:type="spellEnd"/>
      <w:r>
        <w:rPr>
          <w:rFonts w:ascii="Times New Roman" w:hAnsi="Times New Roman" w:cs="Times New Roman"/>
          <w:szCs w:val="24"/>
        </w:rPr>
        <w:t>) were used as model outputs to nominate PMR doses that minimize macrophage accumulation.</w:t>
      </w:r>
    </w:p>
    <w:p w14:paraId="59EE25A7" w14:textId="77777777" w:rsidR="000E675A" w:rsidRDefault="00000000">
      <w:pPr>
        <w:spacing w:afterLines="20" w:after="72" w:line="320" w:lineRule="exact"/>
        <w:ind w:firstLine="482"/>
        <w:jc w:val="both"/>
        <w:rPr>
          <w:rFonts w:ascii="Times New Roman" w:hAnsi="Times New Roman" w:cs="Times New Roman"/>
          <w:szCs w:val="24"/>
        </w:rPr>
      </w:pPr>
      <w:r>
        <w:rPr>
          <w:rFonts w:ascii="Times New Roman" w:hAnsi="Times New Roman" w:cs="Times New Roman"/>
          <w:b/>
          <w:szCs w:val="24"/>
        </w:rPr>
        <w:t>Rationale for using hepatic macrophage density ratios</w:t>
      </w:r>
      <w:r>
        <w:rPr>
          <w:rFonts w:ascii="Times New Roman" w:hAnsi="Times New Roman" w:cs="Times New Roman"/>
          <w:szCs w:val="24"/>
        </w:rPr>
        <w:t xml:space="preserve">. In larval zebrafish, macrophages are the primary innate immune responders and rapidly accumulate in tissues undergoing inflammatory stress or injury. Accordingly, hepatic macrophage infiltration has been widely used as a quantitative surrogate readout of liver immune activation in zebrafish models of metabolic liver stress and hepatotoxicity. In this study, we operationalized inflammatory activation/inflammatory toxicity as the change in liver-associated macrophage density over time, quantified as a within-fish ratio (15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divided by the corresponding baseline at 9 or 12 </w:t>
      </w:r>
      <w:proofErr w:type="spellStart"/>
      <w:r>
        <w:rPr>
          <w:rFonts w:ascii="Times New Roman" w:hAnsi="Times New Roman" w:cs="Times New Roman"/>
          <w:szCs w:val="24"/>
        </w:rPr>
        <w:t>dpf</w:t>
      </w:r>
      <w:proofErr w:type="spellEnd"/>
      <w:r>
        <w:rPr>
          <w:rFonts w:ascii="Times New Roman" w:hAnsi="Times New Roman" w:cs="Times New Roman"/>
          <w:szCs w:val="24"/>
        </w:rPr>
        <w:t>). This longitudinal ratio reduces confounding from inter-individual differences in liver size, baseline macrophage abundance, and imaging intensity, enabling more robust comparison of immune activation across diet and drug-treatment groups within the experimentally tested PMR dose space.</w:t>
      </w:r>
    </w:p>
    <w:p w14:paraId="05CADCD0" w14:textId="77777777" w:rsidR="000E675A" w:rsidRDefault="00000000">
      <w:pPr>
        <w:spacing w:afterLines="20" w:after="72" w:line="320" w:lineRule="exact"/>
        <w:ind w:firstLine="482"/>
        <w:jc w:val="both"/>
        <w:rPr>
          <w:rFonts w:ascii="Times New Roman" w:hAnsi="Times New Roman" w:cs="Times New Roman"/>
          <w:szCs w:val="24"/>
        </w:rPr>
      </w:pPr>
      <w:r>
        <w:rPr>
          <w:rFonts w:ascii="Times New Roman" w:hAnsi="Times New Roman" w:cs="Times New Roman"/>
          <w:b/>
          <w:szCs w:val="24"/>
        </w:rPr>
        <w:t>Workflow overview.</w:t>
      </w:r>
      <w:r>
        <w:rPr>
          <w:rFonts w:ascii="Times New Roman" w:hAnsi="Times New Roman" w:cs="Times New Roman"/>
          <w:szCs w:val="24"/>
        </w:rPr>
        <w:t xml:space="preserve"> PRS-OPT proceeded in five steps: (</w:t>
      </w:r>
      <w:proofErr w:type="spellStart"/>
      <w:r>
        <w:rPr>
          <w:rFonts w:ascii="Times New Roman" w:hAnsi="Times New Roman" w:cs="Times New Roman"/>
          <w:szCs w:val="24"/>
        </w:rPr>
        <w:t>i</w:t>
      </w:r>
      <w:proofErr w:type="spellEnd"/>
      <w:r>
        <w:rPr>
          <w:rFonts w:ascii="Times New Roman" w:hAnsi="Times New Roman" w:cs="Times New Roman"/>
          <w:szCs w:val="24"/>
        </w:rPr>
        <w:t>) define inputs/outputs (drug concentrations as inputs; viability or macrophage-density ratios as outputs), (ii) fit an interpretable quadratic response-surface model to capture main effects and drug–drug interactions, (iii) evaluate model adequacy using prespecified diagnostics and robustness checks, (iv) perform constrained optimization within the experimentally tested bounds to nominate dose sets that satisfy explicit biological constraints, and (v) prospectively validate nominated dose sets in independent</w:t>
      </w:r>
      <w:r>
        <w:rPr>
          <w:rFonts w:ascii="Times New Roman" w:hAnsi="Times New Roman" w:cs="Times New Roman"/>
          <w:i/>
          <w:iCs/>
          <w:szCs w:val="24"/>
        </w:rPr>
        <w:t xml:space="preserve"> in vitro</w:t>
      </w:r>
      <w:r>
        <w:rPr>
          <w:rFonts w:ascii="Times New Roman" w:hAnsi="Times New Roman" w:cs="Times New Roman"/>
          <w:szCs w:val="24"/>
        </w:rPr>
        <w:t xml:space="preserve"> experiments and zebrafish assays. </w:t>
      </w:r>
      <w:proofErr w:type="gramStart"/>
      <w:r>
        <w:rPr>
          <w:rFonts w:ascii="Times New Roman" w:hAnsi="Times New Roman" w:cs="Times New Roman"/>
          <w:szCs w:val="24"/>
        </w:rPr>
        <w:t>A detailed</w:t>
      </w:r>
      <w:proofErr w:type="gramEnd"/>
      <w:r>
        <w:rPr>
          <w:rFonts w:ascii="Times New Roman" w:hAnsi="Times New Roman" w:cs="Times New Roman"/>
          <w:szCs w:val="24"/>
        </w:rPr>
        <w:t xml:space="preserve"> mathematical formulation, solver settings, and implementation notes are provided in Supplementary Methods.</w:t>
      </w:r>
    </w:p>
    <w:p w14:paraId="5285B9CE" w14:textId="77777777" w:rsidR="000E675A" w:rsidRDefault="00000000">
      <w:pPr>
        <w:spacing w:afterLines="20" w:after="72" w:line="320" w:lineRule="exact"/>
        <w:ind w:firstLine="482"/>
        <w:jc w:val="both"/>
        <w:rPr>
          <w:rFonts w:ascii="Times New Roman" w:hAnsi="Times New Roman" w:cs="Times New Roman"/>
          <w:szCs w:val="24"/>
        </w:rPr>
      </w:pPr>
      <w:r>
        <w:rPr>
          <w:rFonts w:ascii="Times New Roman" w:hAnsi="Times New Roman" w:cs="Times New Roman"/>
          <w:szCs w:val="24"/>
        </w:rPr>
        <w:t>To capture nonlinear dose effects and drug-drug interactions, concentrations were mean-centered and expanded to a second-order polynomial basis comprising linear terms, squared terms, and pairwise interaction terms. Quadratic response-surface models were then fit by ordinary least squares (OLS) separately for PLC/PRF/5 and THLE-2, yielding one response surface per cell type. Model adequacy was evaluated using predicted-versus-observed plots and the coefficient of determination (</w:t>
      </w:r>
      <w:r>
        <w:rPr>
          <w:rFonts w:ascii="Times New Roman" w:hAnsi="Times New Roman" w:cs="Times New Roman"/>
          <w:i/>
          <w:iCs/>
          <w:szCs w:val="24"/>
        </w:rPr>
        <w:t>R</w:t>
      </w:r>
      <w:r>
        <w:rPr>
          <w:rFonts w:ascii="Times New Roman" w:hAnsi="Times New Roman" w:cs="Times New Roman"/>
          <w:szCs w:val="24"/>
          <w:vertAlign w:val="superscript"/>
        </w:rPr>
        <w:t>2</w:t>
      </w:r>
      <w:r>
        <w:rPr>
          <w:rFonts w:ascii="Times New Roman" w:hAnsi="Times New Roman" w:cs="Times New Roman"/>
          <w:szCs w:val="24"/>
        </w:rPr>
        <w:t>), and predictive robustness/uncertainty was further quantified by K-fold cross-validation (cross-validated RMSE) and nonparametric bootstrap (confidence intervals for coefficients and/or predictions), with full details and results provided in the Supplementary Information.</w:t>
      </w:r>
    </w:p>
    <w:p w14:paraId="1DAF9AEF" w14:textId="77777777" w:rsidR="000E675A" w:rsidRDefault="00000000">
      <w:pPr>
        <w:spacing w:afterLines="20" w:after="72" w:line="320" w:lineRule="exact"/>
        <w:ind w:firstLine="482"/>
        <w:jc w:val="both"/>
        <w:rPr>
          <w:rFonts w:ascii="Times New Roman" w:hAnsi="Times New Roman" w:cs="Times New Roman"/>
          <w:szCs w:val="24"/>
        </w:rPr>
      </w:pPr>
      <w:r>
        <w:rPr>
          <w:rFonts w:ascii="Times New Roman" w:hAnsi="Times New Roman" w:cs="Times New Roman"/>
          <w:b/>
          <w:szCs w:val="24"/>
        </w:rPr>
        <w:t>Assessment of OLS assumptions and rationale for OLS.</w:t>
      </w:r>
      <w:r>
        <w:rPr>
          <w:rFonts w:ascii="Times New Roman" w:hAnsi="Times New Roman" w:cs="Times New Roman"/>
          <w:szCs w:val="24"/>
        </w:rPr>
        <w:t xml:space="preserve"> Standard OLS assumptions were evaluated using residual-based diagnostics for normality (Shapiro–Wilk test and Q–Q plots), homoscedasticity (Breusch–Pagan test and residuals-versus-fitted plots), and error independence (Durbin–Watson statistic and residuals-versus-run-order plots); multicollinearity among polynomial terms was assessed using variance inflation factors (VIFs) on the mean-centered design matrix. Diagnostic plots and summary statistics are provided in the Supplementary Information (SI1–SI3) with full implementation details in Supplementary Methods S6. OLS was retained primarily for interpretability and transparent constrained dose nomination within the experimentally tested bounds, and model conclusions were additionally supported by cross-validation and bootstrap-based uncertainty estimation.”</w:t>
      </w:r>
    </w:p>
    <w:p w14:paraId="6F35EE0C" w14:textId="77777777" w:rsidR="000E675A" w:rsidRDefault="00000000">
      <w:pPr>
        <w:spacing w:afterLines="20" w:after="72" w:line="320" w:lineRule="exact"/>
        <w:ind w:firstLine="482"/>
        <w:jc w:val="both"/>
        <w:rPr>
          <w:rFonts w:ascii="Times New Roman" w:hAnsi="Times New Roman" w:cs="Times New Roman"/>
          <w:szCs w:val="24"/>
        </w:rPr>
      </w:pPr>
      <w:r>
        <w:rPr>
          <w:rFonts w:ascii="Times New Roman" w:hAnsi="Times New Roman" w:cs="Times New Roman"/>
          <w:szCs w:val="24"/>
        </w:rPr>
        <w:t xml:space="preserve">Dose nomination was performed by constrained multi-objective optimization using Sequential Least Squares Programming (SLSQP) within experimentally defined bounds: the primary objective minimized predicted PLC/PRF/5 viability, and hepatocyte sparing was operationalized by selecting solutions that maximize predicted THLE-2 viability among near-optimal tumor-killing solutions (within a small tolerance of the minimum predicted PLC/PRF/5 viability). Near-optimal tumor-killing solutions were defined using an ε-optimal criterion: predicted PLC/PRF/5 viability ≤ 1.05 × </w:t>
      </w:r>
      <w:proofErr w:type="spellStart"/>
      <w:r>
        <w:rPr>
          <w:rFonts w:ascii="Times New Roman" w:hAnsi="Times New Roman" w:cs="Times New Roman"/>
          <w:szCs w:val="24"/>
        </w:rPr>
        <w:t>V_min</w:t>
      </w:r>
      <w:proofErr w:type="spellEnd"/>
      <w:r>
        <w:rPr>
          <w:rFonts w:ascii="Times New Roman" w:hAnsi="Times New Roman" w:cs="Times New Roman"/>
          <w:szCs w:val="24"/>
        </w:rPr>
        <w:t xml:space="preserve">, where </w:t>
      </w:r>
      <w:proofErr w:type="spellStart"/>
      <w:r>
        <w:rPr>
          <w:rFonts w:ascii="Times New Roman" w:hAnsi="Times New Roman" w:cs="Times New Roman"/>
          <w:szCs w:val="24"/>
        </w:rPr>
        <w:t>V_min</w:t>
      </w:r>
      <w:proofErr w:type="spellEnd"/>
      <w:r>
        <w:rPr>
          <w:rFonts w:ascii="Times New Roman" w:hAnsi="Times New Roman" w:cs="Times New Roman"/>
          <w:szCs w:val="24"/>
        </w:rPr>
        <w:t xml:space="preserve"> is the minimum predicted PLC/PRF/5 viability within the experimentally tested bounds. Final dose nomination selected the solution that maximized predicted THLE-2 viability among this ε-optimal subset. For </w:t>
      </w:r>
      <w:r>
        <w:rPr>
          <w:rFonts w:ascii="Times New Roman" w:hAnsi="Times New Roman" w:cs="Times New Roman"/>
          <w:i/>
          <w:iCs/>
          <w:szCs w:val="24"/>
        </w:rPr>
        <w:t>in vivo</w:t>
      </w:r>
      <w:r>
        <w:rPr>
          <w:rFonts w:ascii="Times New Roman" w:hAnsi="Times New Roman" w:cs="Times New Roman"/>
          <w:szCs w:val="24"/>
        </w:rPr>
        <w:t xml:space="preserve"> immune optimization, the objective minimized the predicted macrophage-density ratio within the experimentally tested PMR bounds </w:t>
      </w:r>
      <w:r>
        <w:rPr>
          <w:rFonts w:ascii="Times New Roman" w:hAnsi="Times New Roman" w:cs="Times New Roman"/>
          <w:szCs w:val="24"/>
        </w:rPr>
        <w:lastRenderedPageBreak/>
        <w:t>using the same response-surface/constraint framework. All nominated dose sets represent model-dependent optima within the tested dose space and are not intended to imply clinical optima.</w:t>
      </w:r>
    </w:p>
    <w:bookmarkEnd w:id="3"/>
    <w:bookmarkEnd w:id="4"/>
    <w:p w14:paraId="02FA36E0" w14:textId="77777777" w:rsidR="000E675A" w:rsidRDefault="000E675A">
      <w:pPr>
        <w:widowControl/>
        <w:spacing w:after="60" w:line="320" w:lineRule="exact"/>
        <w:jc w:val="both"/>
        <w:outlineLvl w:val="1"/>
        <w:rPr>
          <w:rFonts w:ascii="Times New Roman" w:eastAsia="PMingLiU" w:hAnsi="Times New Roman" w:cs="Times New Roman"/>
          <w:b/>
          <w:bCs/>
          <w:kern w:val="0"/>
          <w:szCs w:val="24"/>
        </w:rPr>
      </w:pPr>
    </w:p>
    <w:p w14:paraId="5417F43C" w14:textId="77777777" w:rsidR="000E675A" w:rsidRDefault="00000000">
      <w:pPr>
        <w:widowControl/>
        <w:spacing w:after="60" w:line="320" w:lineRule="exact"/>
        <w:jc w:val="both"/>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S6. OLS assumption checks and uncertainty diagnostics for PRS-OPT response-surface models</w:t>
      </w:r>
    </w:p>
    <w:p w14:paraId="360178DE" w14:textId="77777777" w:rsidR="000E675A" w:rsidRDefault="00000000">
      <w:pPr>
        <w:widowControl/>
        <w:spacing w:after="60" w:line="320" w:lineRule="exact"/>
        <w:jc w:val="both"/>
        <w:rPr>
          <w:rFonts w:ascii="Times New Roman" w:eastAsia="PMingLiU" w:hAnsi="Times New Roman" w:cs="Times New Roman"/>
          <w:kern w:val="0"/>
          <w:szCs w:val="24"/>
        </w:rPr>
      </w:pPr>
      <w:bookmarkStart w:id="5" w:name="OLE_LINK7"/>
      <w:r>
        <w:rPr>
          <w:rFonts w:ascii="Times New Roman" w:eastAsia="PMingLiU" w:hAnsi="Times New Roman" w:cs="Times New Roman"/>
          <w:b/>
          <w:bCs/>
          <w:kern w:val="0"/>
          <w:szCs w:val="24"/>
        </w:rPr>
        <w:t>S6.1 Model fitting and residual definition.</w:t>
      </w:r>
      <w:r>
        <w:rPr>
          <w:rFonts w:ascii="Times New Roman" w:eastAsia="PMingLiU" w:hAnsi="Times New Roman" w:cs="Times New Roman"/>
          <w:kern w:val="0"/>
          <w:szCs w:val="24"/>
        </w:rPr>
        <w:br/>
        <w:t xml:space="preserve">For each condition (PLC5 non-FA, THLE-2 non-FA, PLC5 FA, THLE-2 FA), viability data were fit using a </w:t>
      </w:r>
      <w:proofErr w:type="gramStart"/>
      <w:r>
        <w:rPr>
          <w:rFonts w:ascii="Times New Roman" w:eastAsia="PMingLiU" w:hAnsi="Times New Roman" w:cs="Times New Roman"/>
          <w:kern w:val="0"/>
          <w:szCs w:val="24"/>
        </w:rPr>
        <w:t>second-order</w:t>
      </w:r>
      <w:proofErr w:type="gramEnd"/>
      <w:r>
        <w:rPr>
          <w:rFonts w:ascii="Times New Roman" w:eastAsia="PMingLiU" w:hAnsi="Times New Roman" w:cs="Times New Roman"/>
          <w:kern w:val="0"/>
          <w:szCs w:val="24"/>
        </w:rPr>
        <w:t xml:space="preserve"> (quadratic) response-surface model by ordinary least squares (OLS). Residuals were computed as </w:t>
      </w:r>
      <w:r>
        <w:rPr>
          <w:rFonts w:ascii="Times New Roman" w:eastAsia="PMingLiU" w:hAnsi="Times New Roman" w:cs="Times New Roman"/>
          <w:i/>
          <w:iCs/>
          <w:kern w:val="0"/>
          <w:szCs w:val="24"/>
        </w:rPr>
        <w:t>e</w:t>
      </w:r>
      <w:r>
        <w:rPr>
          <w:rFonts w:ascii="Times New Roman" w:eastAsia="PMingLiU" w:hAnsi="Times New Roman" w:cs="Times New Roman"/>
          <w:kern w:val="0"/>
          <w:szCs w:val="24"/>
        </w:rPr>
        <w:t xml:space="preserve"> = </w:t>
      </w:r>
      <w:r>
        <w:rPr>
          <w:rFonts w:ascii="Times New Roman" w:eastAsia="PMingLiU" w:hAnsi="Times New Roman" w:cs="Times New Roman"/>
          <w:i/>
          <w:iCs/>
          <w:kern w:val="0"/>
          <w:szCs w:val="24"/>
        </w:rPr>
        <w:t>y</w:t>
      </w:r>
      <w:r>
        <w:rPr>
          <w:rFonts w:ascii="Times New Roman" w:eastAsia="PMingLiU" w:hAnsi="Times New Roman" w:cs="Times New Roman"/>
          <w:kern w:val="0"/>
          <w:szCs w:val="24"/>
        </w:rPr>
        <w:t xml:space="preserve"> </w:t>
      </w:r>
      <w:r>
        <w:rPr>
          <w:rFonts w:ascii="Times New Roman" w:eastAsia="MS Gothic" w:hAnsi="Times New Roman" w:cs="Times New Roman"/>
          <w:kern w:val="0"/>
          <w:szCs w:val="24"/>
        </w:rPr>
        <w:t>−</w:t>
      </w:r>
      <w:r>
        <w:rPr>
          <w:rFonts w:ascii="Times New Roman" w:eastAsia="PMingLiU" w:hAnsi="Times New Roman" w:cs="Times New Roman"/>
          <w:kern w:val="0"/>
          <w:szCs w:val="24"/>
        </w:rPr>
        <w:t xml:space="preserve"> ŷ, where </w:t>
      </w:r>
      <w:r>
        <w:rPr>
          <w:rFonts w:ascii="Times New Roman" w:eastAsia="PMingLiU" w:hAnsi="Times New Roman" w:cs="Times New Roman"/>
          <w:i/>
          <w:iCs/>
          <w:kern w:val="0"/>
          <w:szCs w:val="24"/>
        </w:rPr>
        <w:t>y</w:t>
      </w:r>
      <w:r>
        <w:rPr>
          <w:rFonts w:ascii="Times New Roman" w:eastAsia="PMingLiU" w:hAnsi="Times New Roman" w:cs="Times New Roman"/>
          <w:kern w:val="0"/>
          <w:szCs w:val="24"/>
        </w:rPr>
        <w:t xml:space="preserve"> is observed viability and ŷ is model-predicted viability.</w:t>
      </w:r>
    </w:p>
    <w:p w14:paraId="7186A9AC" w14:textId="77777777"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S6.2 Polynomial feature construction and structural collinearity mitigation.</w:t>
      </w:r>
      <w:r>
        <w:rPr>
          <w:rFonts w:ascii="Times New Roman" w:eastAsia="PMingLiU" w:hAnsi="Times New Roman" w:cs="Times New Roman"/>
          <w:kern w:val="0"/>
          <w:szCs w:val="24"/>
        </w:rPr>
        <w:br/>
        <w:t xml:space="preserve">To capture nonlinear dose effects and pairwise drug–drug interactions, predictors were expanded to include linear terms, squared terms, and pairwise interaction terms. To reduce structural multicollinearity introduced by polynomial expansion, drug concentrations were </w:t>
      </w:r>
      <w:proofErr w:type="gramStart"/>
      <w:r>
        <w:rPr>
          <w:rFonts w:ascii="Times New Roman" w:eastAsia="PMingLiU" w:hAnsi="Times New Roman" w:cs="Times New Roman"/>
          <w:kern w:val="0"/>
          <w:szCs w:val="24"/>
        </w:rPr>
        <w:t>mean-centered</w:t>
      </w:r>
      <w:proofErr w:type="gramEnd"/>
      <w:r>
        <w:rPr>
          <w:rFonts w:ascii="Times New Roman" w:eastAsia="PMingLiU" w:hAnsi="Times New Roman" w:cs="Times New Roman"/>
          <w:kern w:val="0"/>
          <w:szCs w:val="24"/>
        </w:rPr>
        <w:t xml:space="preserve"> prior to generating squared and interaction terms. </w:t>
      </w:r>
    </w:p>
    <w:p w14:paraId="56282132" w14:textId="77777777"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S6.3 Predictor scaling sensitivity analysis.</w:t>
      </w:r>
      <w:r>
        <w:rPr>
          <w:rFonts w:ascii="Times New Roman" w:eastAsia="PMingLiU" w:hAnsi="Times New Roman" w:cs="Times New Roman"/>
          <w:kern w:val="0"/>
          <w:szCs w:val="24"/>
        </w:rPr>
        <w:br/>
        <w:t>Because drug concentrations span different numerical ranges, models were fit using concentrations in their original units within the experimentally defined bounds. As a sensitivity analysis, predictors were also z-score standardized prior to refitting; standardization did not materially change model adequacy metrics or the location of model-based optima (reported in Supplementary Information).</w:t>
      </w:r>
    </w:p>
    <w:p w14:paraId="5C8E62CA" w14:textId="77777777"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S6.4 Multicollinearity assessment (Variance Inflation Factors).</w:t>
      </w:r>
      <w:r>
        <w:rPr>
          <w:rFonts w:ascii="Times New Roman" w:eastAsia="PMingLiU" w:hAnsi="Times New Roman" w:cs="Times New Roman"/>
          <w:kern w:val="0"/>
          <w:szCs w:val="24"/>
        </w:rPr>
        <w:br/>
        <w:t xml:space="preserve">Multicollinearity among main effects and interaction terms was evaluated using variance inflation factors (VIFs) calculated on the model design matrix. Across the four fitted models, no evidence of severe multicollinearity was observed (maximum VIF &lt; 3 for all models; Supplementary diagnostic summary). </w:t>
      </w:r>
    </w:p>
    <w:p w14:paraId="5D70C13D" w14:textId="77777777"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S6.5 Residual normality (Shapiro–Wilk) and visual diagnostics.</w:t>
      </w:r>
      <w:r>
        <w:rPr>
          <w:rFonts w:ascii="Times New Roman" w:eastAsia="PMingLiU" w:hAnsi="Times New Roman" w:cs="Times New Roman"/>
          <w:kern w:val="0"/>
          <w:szCs w:val="24"/>
        </w:rPr>
        <w:br/>
        <w:t xml:space="preserve">Residual normality was assessed using the Shapiro–Wilk test (function </w:t>
      </w:r>
      <w:proofErr w:type="spellStart"/>
      <w:proofErr w:type="gramStart"/>
      <w:r>
        <w:rPr>
          <w:rFonts w:ascii="Times New Roman" w:eastAsia="PMingLiU" w:hAnsi="Times New Roman" w:cs="Times New Roman"/>
          <w:kern w:val="0"/>
          <w:szCs w:val="24"/>
        </w:rPr>
        <w:t>scipy.stats</w:t>
      </w:r>
      <w:proofErr w:type="gramEnd"/>
      <w:r>
        <w:rPr>
          <w:rFonts w:ascii="Times New Roman" w:eastAsia="PMingLiU" w:hAnsi="Times New Roman" w:cs="Times New Roman"/>
          <w:kern w:val="0"/>
          <w:szCs w:val="24"/>
        </w:rPr>
        <w:t>.shapiro</w:t>
      </w:r>
      <w:proofErr w:type="spellEnd"/>
      <w:r>
        <w:rPr>
          <w:rFonts w:ascii="Times New Roman" w:eastAsia="PMingLiU" w:hAnsi="Times New Roman" w:cs="Times New Roman"/>
          <w:kern w:val="0"/>
          <w:szCs w:val="24"/>
        </w:rPr>
        <w:t xml:space="preserve"> from the SciPy library), with </w:t>
      </w:r>
      <w:r>
        <w:rPr>
          <w:rFonts w:ascii="Times New Roman" w:eastAsia="PMingLiU" w:hAnsi="Times New Roman" w:cs="Times New Roman"/>
          <w:i/>
          <w:iCs/>
          <w:kern w:val="0"/>
          <w:szCs w:val="24"/>
        </w:rPr>
        <w:t>p</w:t>
      </w:r>
      <w:r>
        <w:rPr>
          <w:rFonts w:ascii="Times New Roman" w:eastAsia="PMingLiU" w:hAnsi="Times New Roman" w:cs="Times New Roman"/>
          <w:kern w:val="0"/>
          <w:szCs w:val="24"/>
        </w:rPr>
        <w:t xml:space="preserve"> &lt; 0.05 interpreted as evidence against normality. In addition, Q–Q plots and residual histograms were generated (Supplementary Information Figure S1) to visually evaluate departures from normality. </w:t>
      </w:r>
    </w:p>
    <w:p w14:paraId="49B2238A" w14:textId="77777777"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S6.6 Homoscedasticity (Breusch–Pagan) and residual–fitted plots.</w:t>
      </w:r>
      <w:r>
        <w:rPr>
          <w:rFonts w:ascii="Times New Roman" w:eastAsia="PMingLiU" w:hAnsi="Times New Roman" w:cs="Times New Roman"/>
          <w:kern w:val="0"/>
          <w:szCs w:val="24"/>
        </w:rPr>
        <w:br/>
        <w:t xml:space="preserve">Homoscedasticity (constant residual variance) was tested using the Breusch–Pagan procedure (implemented in </w:t>
      </w:r>
      <w:proofErr w:type="spellStart"/>
      <w:r>
        <w:rPr>
          <w:rFonts w:ascii="Times New Roman" w:eastAsia="PMingLiU" w:hAnsi="Times New Roman" w:cs="Times New Roman"/>
          <w:kern w:val="0"/>
          <w:szCs w:val="24"/>
        </w:rPr>
        <w:t>Statsmodels</w:t>
      </w:r>
      <w:proofErr w:type="spellEnd"/>
      <w:r>
        <w:rPr>
          <w:rFonts w:ascii="Times New Roman" w:eastAsia="PMingLiU" w:hAnsi="Times New Roman" w:cs="Times New Roman"/>
          <w:kern w:val="0"/>
          <w:szCs w:val="24"/>
        </w:rPr>
        <w:t xml:space="preserve"> as </w:t>
      </w:r>
      <w:proofErr w:type="spellStart"/>
      <w:r>
        <w:rPr>
          <w:rFonts w:ascii="Times New Roman" w:eastAsia="PMingLiU" w:hAnsi="Times New Roman" w:cs="Times New Roman"/>
          <w:kern w:val="0"/>
          <w:szCs w:val="24"/>
        </w:rPr>
        <w:t>statsmodels.stats.diagnostic.het_breuschpagan</w:t>
      </w:r>
      <w:proofErr w:type="spellEnd"/>
      <w:r>
        <w:rPr>
          <w:rFonts w:ascii="Times New Roman" w:eastAsia="PMingLiU" w:hAnsi="Times New Roman" w:cs="Times New Roman"/>
          <w:kern w:val="0"/>
          <w:szCs w:val="24"/>
        </w:rPr>
        <w:t xml:space="preserve">), with </w:t>
      </w:r>
      <w:r>
        <w:rPr>
          <w:rFonts w:ascii="Times New Roman" w:eastAsia="PMingLiU" w:hAnsi="Times New Roman" w:cs="Times New Roman"/>
          <w:i/>
          <w:iCs/>
          <w:kern w:val="0"/>
          <w:szCs w:val="24"/>
        </w:rPr>
        <w:t>p</w:t>
      </w:r>
      <w:r>
        <w:rPr>
          <w:rFonts w:ascii="Times New Roman" w:eastAsia="PMingLiU" w:hAnsi="Times New Roman" w:cs="Times New Roman"/>
          <w:kern w:val="0"/>
          <w:szCs w:val="24"/>
        </w:rPr>
        <w:t xml:space="preserve"> &lt; 0.05 interpreted as evidence of heteroscedasticity. Residuals versus fitted-value plots were also examined (Supplementary Information Figure S2) to identify variance trends or systematic structure. </w:t>
      </w:r>
    </w:p>
    <w:p w14:paraId="520A51EE" w14:textId="77777777"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S6.7 Independence of errors (Durbin–Watson) and residual–order plots.</w:t>
      </w:r>
      <w:r>
        <w:rPr>
          <w:rFonts w:ascii="Times New Roman" w:eastAsia="PMingLiU" w:hAnsi="Times New Roman" w:cs="Times New Roman"/>
          <w:kern w:val="0"/>
          <w:szCs w:val="24"/>
        </w:rPr>
        <w:br/>
        <w:t>Error independence was assessed using the Durbin–Watson statistic (</w:t>
      </w:r>
      <w:proofErr w:type="spellStart"/>
      <w:proofErr w:type="gramStart"/>
      <w:r>
        <w:rPr>
          <w:rFonts w:ascii="Times New Roman" w:eastAsia="PMingLiU" w:hAnsi="Times New Roman" w:cs="Times New Roman"/>
          <w:kern w:val="0"/>
          <w:szCs w:val="24"/>
        </w:rPr>
        <w:t>statsmodels.stats</w:t>
      </w:r>
      <w:proofErr w:type="gramEnd"/>
      <w:r>
        <w:rPr>
          <w:rFonts w:ascii="Times New Roman" w:eastAsia="PMingLiU" w:hAnsi="Times New Roman" w:cs="Times New Roman"/>
          <w:kern w:val="0"/>
          <w:szCs w:val="24"/>
        </w:rPr>
        <w:t>.</w:t>
      </w:r>
      <w:proofErr w:type="gramStart"/>
      <w:r>
        <w:rPr>
          <w:rFonts w:ascii="Times New Roman" w:eastAsia="PMingLiU" w:hAnsi="Times New Roman" w:cs="Times New Roman"/>
          <w:kern w:val="0"/>
          <w:szCs w:val="24"/>
        </w:rPr>
        <w:t>stattools.durbin</w:t>
      </w:r>
      <w:proofErr w:type="gramEnd"/>
      <w:r>
        <w:rPr>
          <w:rFonts w:ascii="Times New Roman" w:eastAsia="PMingLiU" w:hAnsi="Times New Roman" w:cs="Times New Roman"/>
          <w:kern w:val="0"/>
          <w:szCs w:val="24"/>
        </w:rPr>
        <w:t>_watson</w:t>
      </w:r>
      <w:proofErr w:type="spellEnd"/>
      <w:r>
        <w:rPr>
          <w:rFonts w:ascii="Times New Roman" w:eastAsia="PMingLiU" w:hAnsi="Times New Roman" w:cs="Times New Roman"/>
          <w:kern w:val="0"/>
          <w:szCs w:val="24"/>
        </w:rPr>
        <w:t xml:space="preserve">). Residuals were additionally plotted against experiment/run order (Supplementary Information Figure S3) to screen for autocorrelation or batch/sequence effects. </w:t>
      </w:r>
    </w:p>
    <w:p w14:paraId="70F5E768" w14:textId="77777777"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S6.8 Predictive robustness via K-fold cross-validation (CV).</w:t>
      </w:r>
      <w:r>
        <w:rPr>
          <w:rFonts w:ascii="Times New Roman" w:eastAsia="PMingLiU" w:hAnsi="Times New Roman" w:cs="Times New Roman"/>
          <w:kern w:val="0"/>
          <w:szCs w:val="24"/>
        </w:rPr>
        <w:br/>
        <w:t>Predictive stability was quantified using K-fold cross-validation implemented with the scikit-learn library (</w:t>
      </w:r>
      <w:proofErr w:type="spellStart"/>
      <w:proofErr w:type="gramStart"/>
      <w:r>
        <w:rPr>
          <w:rFonts w:ascii="Times New Roman" w:eastAsia="PMingLiU" w:hAnsi="Times New Roman" w:cs="Times New Roman"/>
          <w:kern w:val="0"/>
          <w:szCs w:val="24"/>
        </w:rPr>
        <w:t>sklearn.model</w:t>
      </w:r>
      <w:proofErr w:type="gramEnd"/>
      <w:r>
        <w:rPr>
          <w:rFonts w:ascii="Times New Roman" w:eastAsia="PMingLiU" w:hAnsi="Times New Roman" w:cs="Times New Roman"/>
          <w:kern w:val="0"/>
          <w:szCs w:val="24"/>
        </w:rPr>
        <w:t>_</w:t>
      </w:r>
      <w:proofErr w:type="gramStart"/>
      <w:r>
        <w:rPr>
          <w:rFonts w:ascii="Times New Roman" w:eastAsia="PMingLiU" w:hAnsi="Times New Roman" w:cs="Times New Roman"/>
          <w:kern w:val="0"/>
          <w:szCs w:val="24"/>
        </w:rPr>
        <w:t>selection.KFold</w:t>
      </w:r>
      <w:proofErr w:type="spellEnd"/>
      <w:proofErr w:type="gramEnd"/>
      <w:r>
        <w:rPr>
          <w:rFonts w:ascii="Times New Roman" w:eastAsia="PMingLiU" w:hAnsi="Times New Roman" w:cs="Times New Roman"/>
          <w:kern w:val="0"/>
          <w:szCs w:val="24"/>
        </w:rPr>
        <w:t>). For each fold, models were trained on K</w:t>
      </w:r>
      <w:r>
        <w:rPr>
          <w:rFonts w:ascii="Times New Roman" w:eastAsia="MS Gothic" w:hAnsi="Times New Roman" w:cs="Times New Roman"/>
          <w:kern w:val="0"/>
          <w:szCs w:val="24"/>
        </w:rPr>
        <w:t>−</w:t>
      </w:r>
      <w:r>
        <w:rPr>
          <w:rFonts w:ascii="Times New Roman" w:eastAsia="PMingLiU" w:hAnsi="Times New Roman" w:cs="Times New Roman"/>
          <w:kern w:val="0"/>
          <w:szCs w:val="24"/>
        </w:rPr>
        <w:t xml:space="preserve">1 partitions and evaluated on the held-out partition; performance was summarized as cross-validated root mean squared error (RMSE), averaged across folds. Observed RMSE values across the four models are reported in the Supplementary diagnostic summary. </w:t>
      </w:r>
    </w:p>
    <w:p w14:paraId="24BB79B8" w14:textId="77777777"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S6.9 Parameter uncertainty via bootstrap resampling.</w:t>
      </w:r>
      <w:r>
        <w:rPr>
          <w:rFonts w:ascii="Times New Roman" w:eastAsia="PMingLiU" w:hAnsi="Times New Roman" w:cs="Times New Roman"/>
          <w:kern w:val="0"/>
          <w:szCs w:val="24"/>
        </w:rPr>
        <w:br/>
        <w:t>To characterize coefficient uncertainty, nonparametric bootstrap resampling was performed using scikit-learn (</w:t>
      </w:r>
      <w:proofErr w:type="spellStart"/>
      <w:proofErr w:type="gramStart"/>
      <w:r>
        <w:rPr>
          <w:rFonts w:ascii="Times New Roman" w:eastAsia="PMingLiU" w:hAnsi="Times New Roman" w:cs="Times New Roman"/>
          <w:kern w:val="0"/>
          <w:szCs w:val="24"/>
        </w:rPr>
        <w:t>sklearn.utils</w:t>
      </w:r>
      <w:proofErr w:type="gramEnd"/>
      <w:r>
        <w:rPr>
          <w:rFonts w:ascii="Times New Roman" w:eastAsia="PMingLiU" w:hAnsi="Times New Roman" w:cs="Times New Roman"/>
          <w:kern w:val="0"/>
          <w:szCs w:val="24"/>
        </w:rPr>
        <w:t>.resample</w:t>
      </w:r>
      <w:proofErr w:type="spellEnd"/>
      <w:r>
        <w:rPr>
          <w:rFonts w:ascii="Times New Roman" w:eastAsia="PMingLiU" w:hAnsi="Times New Roman" w:cs="Times New Roman"/>
          <w:kern w:val="0"/>
          <w:szCs w:val="24"/>
        </w:rPr>
        <w:t xml:space="preserve">). Models were refit on resampled datasets to generate empirical coefficient </w:t>
      </w:r>
      <w:r>
        <w:rPr>
          <w:rFonts w:ascii="Times New Roman" w:eastAsia="PMingLiU" w:hAnsi="Times New Roman" w:cs="Times New Roman"/>
          <w:kern w:val="0"/>
          <w:szCs w:val="24"/>
        </w:rPr>
        <w:lastRenderedPageBreak/>
        <w:t>distributions and 95% confidence intervals (CIs). Effects with CIs crossing zero were interpreted as weak or uncertain contributions, whereas CIs not crossing zero indicated more stable directional effects. Bootstrap summaries are provided in the Supplementary Information.</w:t>
      </w:r>
    </w:p>
    <w:bookmarkEnd w:id="5"/>
    <w:p w14:paraId="473941EA" w14:textId="77777777" w:rsidR="000E675A" w:rsidRDefault="000E675A">
      <w:pPr>
        <w:widowControl/>
        <w:spacing w:after="60" w:line="320" w:lineRule="exact"/>
        <w:outlineLvl w:val="1"/>
        <w:rPr>
          <w:rFonts w:ascii="Times New Roman" w:eastAsia="PMingLiU" w:hAnsi="Times New Roman" w:cs="Times New Roman"/>
          <w:kern w:val="0"/>
          <w:szCs w:val="24"/>
        </w:rPr>
      </w:pPr>
    </w:p>
    <w:p w14:paraId="7AA27F14"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S7. Oil Red O staining and quantification (expanded)</w:t>
      </w:r>
    </w:p>
    <w:p w14:paraId="46F210A3"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S7.1 Reagent preparation</w:t>
      </w:r>
    </w:p>
    <w:p w14:paraId="4F75061F"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Oil Red O (ORO) stock was prepared by dissolving 35 mg ORO dye (Sigma-Aldrich Cat. #O-0605) in 10 mL 100% isopropanol, followed by filtration (0.22 µm). Stock was stored at room temperature. Working ORO solution was prepared fresh by mixing stock with </w:t>
      </w:r>
      <w:proofErr w:type="spellStart"/>
      <w:r>
        <w:rPr>
          <w:rFonts w:ascii="Times New Roman" w:eastAsia="PMingLiU" w:hAnsi="Times New Roman" w:cs="Times New Roman"/>
          <w:kern w:val="0"/>
          <w:szCs w:val="24"/>
        </w:rPr>
        <w:t>ddH₂O</w:t>
      </w:r>
      <w:proofErr w:type="spellEnd"/>
      <w:r>
        <w:rPr>
          <w:rFonts w:ascii="Times New Roman" w:eastAsia="PMingLiU" w:hAnsi="Times New Roman" w:cs="Times New Roman"/>
          <w:kern w:val="0"/>
          <w:szCs w:val="24"/>
        </w:rPr>
        <w:t xml:space="preserve"> at 3:2 (v/v), incubating 20 min at room temperature, and filtering before use.</w:t>
      </w:r>
    </w:p>
    <w:p w14:paraId="5778A2FC"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S7.2 Staining protocol</w:t>
      </w:r>
    </w:p>
    <w:p w14:paraId="4A118193"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Cells were seeded in 24-well plates at 15,000 cells/well, treated ± FA ± drugs for 72 h, washed twice with PBS, and fixed in 10% formalin (≥1 h, room temperature). Cells were washed with </w:t>
      </w:r>
      <w:proofErr w:type="spellStart"/>
      <w:r>
        <w:rPr>
          <w:rFonts w:ascii="Times New Roman" w:eastAsia="PMingLiU" w:hAnsi="Times New Roman" w:cs="Times New Roman"/>
          <w:kern w:val="0"/>
          <w:szCs w:val="24"/>
        </w:rPr>
        <w:t>ddH₂O</w:t>
      </w:r>
      <w:proofErr w:type="spellEnd"/>
      <w:r>
        <w:rPr>
          <w:rFonts w:ascii="Times New Roman" w:eastAsia="PMingLiU" w:hAnsi="Times New Roman" w:cs="Times New Roman"/>
          <w:kern w:val="0"/>
          <w:szCs w:val="24"/>
        </w:rPr>
        <w:t xml:space="preserve">, equilibrated in 60% isopropanol for 5 min, air-dried, and stained with ORO working solution (500 µL/well) for 10 min. Cells were washed 4× with </w:t>
      </w:r>
      <w:proofErr w:type="spellStart"/>
      <w:r>
        <w:rPr>
          <w:rFonts w:ascii="Times New Roman" w:eastAsia="PMingLiU" w:hAnsi="Times New Roman" w:cs="Times New Roman"/>
          <w:kern w:val="0"/>
          <w:szCs w:val="24"/>
        </w:rPr>
        <w:t>ddH₂O</w:t>
      </w:r>
      <w:proofErr w:type="spellEnd"/>
      <w:r>
        <w:rPr>
          <w:rFonts w:ascii="Times New Roman" w:eastAsia="PMingLiU" w:hAnsi="Times New Roman" w:cs="Times New Roman"/>
          <w:kern w:val="0"/>
          <w:szCs w:val="24"/>
        </w:rPr>
        <w:t xml:space="preserve"> and imaged.</w:t>
      </w:r>
    </w:p>
    <w:p w14:paraId="1CA4D10D"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S7.3 Elution-based quantification</w:t>
      </w:r>
    </w:p>
    <w:p w14:paraId="79F4A1BB"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For quantification, ORO was eluted with 100% isopropanol (500 µL/well, 10 min, gentle shaking). Eluates were transferred to 96-well plates and absorbance at 500 nm was measured, using 100% isopropanol as blank.</w:t>
      </w:r>
    </w:p>
    <w:p w14:paraId="38ED841C" w14:textId="77777777" w:rsidR="000E675A" w:rsidRDefault="000E675A">
      <w:pPr>
        <w:widowControl/>
        <w:spacing w:after="60" w:line="320" w:lineRule="exact"/>
        <w:outlineLvl w:val="1"/>
        <w:rPr>
          <w:rFonts w:ascii="Times New Roman" w:eastAsia="PMingLiU" w:hAnsi="Times New Roman" w:cs="Times New Roman"/>
          <w:kern w:val="0"/>
          <w:szCs w:val="24"/>
        </w:rPr>
      </w:pPr>
    </w:p>
    <w:p w14:paraId="0AF205B6"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S8. Inhibitor pretreatment (expanded)</w:t>
      </w:r>
    </w:p>
    <w:p w14:paraId="01D1BAF0"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Cells were plated at 3,000 cells/well (96-well plates). Pathway inhibitors </w:t>
      </w:r>
      <w:proofErr w:type="gramStart"/>
      <w:r>
        <w:rPr>
          <w:rFonts w:ascii="Times New Roman" w:eastAsia="PMingLiU" w:hAnsi="Times New Roman" w:cs="Times New Roman"/>
          <w:kern w:val="0"/>
          <w:szCs w:val="24"/>
        </w:rPr>
        <w:t>were applied</w:t>
      </w:r>
      <w:proofErr w:type="gramEnd"/>
      <w:r>
        <w:rPr>
          <w:rFonts w:ascii="Times New Roman" w:eastAsia="PMingLiU" w:hAnsi="Times New Roman" w:cs="Times New Roman"/>
          <w:kern w:val="0"/>
          <w:szCs w:val="24"/>
        </w:rPr>
        <w:t xml:space="preserve"> for 4 h, followed by co-treatment with PMR plus the same inhibitor for 24 h prior to CCK-8 readout. Inhibitors included: NAC (1 mM; TargetMol Cat. #T5518), Z-VAD-FMK (50 µM; TargetMol Cat. #T6013), ferrostatin-1 (10 µM; TargetMol Cat. #T6500), necrostatin-1 (50 µM; TargetMol Cat. #T1847), and 3-methyladenine (10 µM; TargetMol Cat. #T1879). Stocks were prepared in DMSO (NAC in water), stored at </w:t>
      </w:r>
      <w:r>
        <w:rPr>
          <w:rFonts w:ascii="Times New Roman" w:eastAsia="MS Gothic" w:hAnsi="Times New Roman" w:cs="Times New Roman"/>
          <w:kern w:val="0"/>
          <w:szCs w:val="24"/>
        </w:rPr>
        <w:t>−</w:t>
      </w:r>
      <w:r>
        <w:rPr>
          <w:rFonts w:ascii="Times New Roman" w:eastAsia="PMingLiU" w:hAnsi="Times New Roman" w:cs="Times New Roman"/>
          <w:kern w:val="0"/>
          <w:szCs w:val="24"/>
        </w:rPr>
        <w:t>20 °C, and diluted into medium immediately before use. Final DMSO was vehicle-matched across groups.</w:t>
      </w:r>
    </w:p>
    <w:p w14:paraId="65FD35EB" w14:textId="77777777" w:rsidR="000E675A" w:rsidRDefault="000E675A">
      <w:pPr>
        <w:widowControl/>
        <w:spacing w:after="60" w:line="320" w:lineRule="exact"/>
        <w:outlineLvl w:val="1"/>
        <w:rPr>
          <w:rFonts w:ascii="Times New Roman" w:eastAsia="PMingLiU" w:hAnsi="Times New Roman" w:cs="Times New Roman"/>
          <w:kern w:val="0"/>
          <w:szCs w:val="24"/>
        </w:rPr>
      </w:pPr>
    </w:p>
    <w:p w14:paraId="3E0A6312"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S9. Annexin V/PI apoptosis assay and flow cytometry gating (expanded)</w:t>
      </w:r>
    </w:p>
    <w:p w14:paraId="2F878D32" w14:textId="77777777" w:rsidR="000E675A" w:rsidRDefault="00000000">
      <w:pPr>
        <w:widowControl/>
        <w:spacing w:after="60" w:line="320" w:lineRule="exact"/>
        <w:rPr>
          <w:rFonts w:ascii="Times New Roman" w:eastAsia="PMingLiU" w:hAnsi="Times New Roman" w:cs="Times New Roman"/>
          <w:kern w:val="0"/>
          <w:szCs w:val="24"/>
        </w:rPr>
      </w:pPr>
      <w:bookmarkStart w:id="6" w:name="_Hlk220697946"/>
      <w:r>
        <w:rPr>
          <w:rFonts w:ascii="Times New Roman" w:eastAsia="PMingLiU" w:hAnsi="Times New Roman" w:cs="Times New Roman"/>
          <w:kern w:val="0"/>
          <w:szCs w:val="24"/>
        </w:rPr>
        <w:t>Cells were seeded in 6-well plates (2.5 × 10</w:t>
      </w:r>
      <w:r>
        <w:rPr>
          <w:rFonts w:ascii="Times New Roman" w:eastAsia="MS Gothic" w:hAnsi="Times New Roman" w:cs="Times New Roman"/>
          <w:kern w:val="0"/>
          <w:szCs w:val="24"/>
        </w:rPr>
        <w:t>⁵</w:t>
      </w:r>
      <w:r>
        <w:rPr>
          <w:rFonts w:ascii="Times New Roman" w:eastAsia="PMingLiU" w:hAnsi="Times New Roman" w:cs="Times New Roman"/>
          <w:kern w:val="0"/>
          <w:szCs w:val="24"/>
        </w:rPr>
        <w:t xml:space="preserve"> cells/well) </w:t>
      </w:r>
      <w:bookmarkEnd w:id="6"/>
      <w:r>
        <w:rPr>
          <w:rFonts w:ascii="Times New Roman" w:eastAsia="PMingLiU" w:hAnsi="Times New Roman" w:cs="Times New Roman"/>
          <w:kern w:val="0"/>
          <w:szCs w:val="24"/>
        </w:rPr>
        <w:t xml:space="preserve">and treated with PMR ± FA for 48 h. Cells were washed with PBS, detached with </w:t>
      </w:r>
      <w:proofErr w:type="spellStart"/>
      <w:r>
        <w:rPr>
          <w:rFonts w:ascii="Times New Roman" w:eastAsia="PMingLiU" w:hAnsi="Times New Roman" w:cs="Times New Roman"/>
          <w:kern w:val="0"/>
          <w:szCs w:val="24"/>
        </w:rPr>
        <w:t>TrypLE</w:t>
      </w:r>
      <w:proofErr w:type="spellEnd"/>
      <w:r>
        <w:rPr>
          <w:rFonts w:ascii="Times New Roman" w:eastAsia="PMingLiU" w:hAnsi="Times New Roman" w:cs="Times New Roman"/>
          <w:kern w:val="0"/>
          <w:szCs w:val="24"/>
        </w:rPr>
        <w:t xml:space="preserve">™ Express, resuspended in 1× Binding Buffer, stained with Annexin V–FITC (5 µL) and PI (5 µL) (Abcam Cat. #ab14085) for 5 min in the dark at room </w:t>
      </w:r>
      <w:proofErr w:type="gramStart"/>
      <w:r>
        <w:rPr>
          <w:rFonts w:ascii="Times New Roman" w:eastAsia="PMingLiU" w:hAnsi="Times New Roman" w:cs="Times New Roman"/>
          <w:kern w:val="0"/>
          <w:szCs w:val="24"/>
        </w:rPr>
        <w:t>temperature, and</w:t>
      </w:r>
      <w:proofErr w:type="gramEnd"/>
      <w:r>
        <w:rPr>
          <w:rFonts w:ascii="Times New Roman" w:eastAsia="PMingLiU" w:hAnsi="Times New Roman" w:cs="Times New Roman"/>
          <w:kern w:val="0"/>
          <w:szCs w:val="24"/>
        </w:rPr>
        <w:t xml:space="preserve"> analyzed immediately by flow cytometry.</w:t>
      </w:r>
    </w:p>
    <w:p w14:paraId="7E4080F7"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Quadrants were defined using unstained, single-stained, and vehicle controls as appropriate. Populations were quantified as: viable (Annexin V</w:t>
      </w:r>
      <w:r>
        <w:rPr>
          <w:rFonts w:ascii="Times New Roman" w:eastAsia="MS Gothic" w:hAnsi="Times New Roman" w:cs="Times New Roman"/>
          <w:kern w:val="0"/>
          <w:szCs w:val="24"/>
        </w:rPr>
        <w:t>⁻</w:t>
      </w:r>
      <w:r>
        <w:rPr>
          <w:rFonts w:ascii="Times New Roman" w:eastAsia="PMingLiU" w:hAnsi="Times New Roman" w:cs="Times New Roman"/>
          <w:kern w:val="0"/>
          <w:szCs w:val="24"/>
        </w:rPr>
        <w:t>/PI</w:t>
      </w:r>
      <w:r>
        <w:rPr>
          <w:rFonts w:ascii="Times New Roman" w:eastAsia="MS Gothic" w:hAnsi="Times New Roman" w:cs="Times New Roman"/>
          <w:kern w:val="0"/>
          <w:szCs w:val="24"/>
        </w:rPr>
        <w:t>⁻</w:t>
      </w:r>
      <w:r>
        <w:rPr>
          <w:rFonts w:ascii="Times New Roman" w:eastAsia="PMingLiU" w:hAnsi="Times New Roman" w:cs="Times New Roman"/>
          <w:kern w:val="0"/>
          <w:szCs w:val="24"/>
        </w:rPr>
        <w:t>), early apoptotic (Annexin V</w:t>
      </w:r>
      <w:r>
        <w:rPr>
          <w:rFonts w:ascii="Times New Roman" w:eastAsia="MS Gothic" w:hAnsi="Times New Roman" w:cs="Times New Roman"/>
          <w:kern w:val="0"/>
          <w:szCs w:val="24"/>
        </w:rPr>
        <w:t>⁺</w:t>
      </w:r>
      <w:r>
        <w:rPr>
          <w:rFonts w:ascii="Times New Roman" w:eastAsia="PMingLiU" w:hAnsi="Times New Roman" w:cs="Times New Roman"/>
          <w:kern w:val="0"/>
          <w:szCs w:val="24"/>
        </w:rPr>
        <w:t>/PI</w:t>
      </w:r>
      <w:r>
        <w:rPr>
          <w:rFonts w:ascii="Times New Roman" w:eastAsia="MS Gothic" w:hAnsi="Times New Roman" w:cs="Times New Roman"/>
          <w:kern w:val="0"/>
          <w:szCs w:val="24"/>
        </w:rPr>
        <w:t>⁻</w:t>
      </w:r>
      <w:r>
        <w:rPr>
          <w:rFonts w:ascii="Times New Roman" w:eastAsia="PMingLiU" w:hAnsi="Times New Roman" w:cs="Times New Roman"/>
          <w:kern w:val="0"/>
          <w:szCs w:val="24"/>
        </w:rPr>
        <w:t>), late apoptotic (Annexin V</w:t>
      </w:r>
      <w:r>
        <w:rPr>
          <w:rFonts w:ascii="Times New Roman" w:eastAsia="MS Gothic" w:hAnsi="Times New Roman" w:cs="Times New Roman"/>
          <w:kern w:val="0"/>
          <w:szCs w:val="24"/>
        </w:rPr>
        <w:t>⁺</w:t>
      </w:r>
      <w:r>
        <w:rPr>
          <w:rFonts w:ascii="Times New Roman" w:eastAsia="PMingLiU" w:hAnsi="Times New Roman" w:cs="Times New Roman"/>
          <w:kern w:val="0"/>
          <w:szCs w:val="24"/>
        </w:rPr>
        <w:t>/PI</w:t>
      </w:r>
      <w:r>
        <w:rPr>
          <w:rFonts w:ascii="Times New Roman" w:eastAsia="MS Gothic" w:hAnsi="Times New Roman" w:cs="Times New Roman"/>
          <w:kern w:val="0"/>
          <w:szCs w:val="24"/>
        </w:rPr>
        <w:t>⁺</w:t>
      </w:r>
      <w:r>
        <w:rPr>
          <w:rFonts w:ascii="Times New Roman" w:eastAsia="PMingLiU" w:hAnsi="Times New Roman" w:cs="Times New Roman"/>
          <w:kern w:val="0"/>
          <w:szCs w:val="24"/>
        </w:rPr>
        <w:t>), and PI-only (Annexin V</w:t>
      </w:r>
      <w:r>
        <w:rPr>
          <w:rFonts w:ascii="Times New Roman" w:eastAsia="MS Gothic" w:hAnsi="Times New Roman" w:cs="Times New Roman"/>
          <w:kern w:val="0"/>
          <w:szCs w:val="24"/>
        </w:rPr>
        <w:t>⁻</w:t>
      </w:r>
      <w:r>
        <w:rPr>
          <w:rFonts w:ascii="Times New Roman" w:eastAsia="PMingLiU" w:hAnsi="Times New Roman" w:cs="Times New Roman"/>
          <w:kern w:val="0"/>
          <w:szCs w:val="24"/>
        </w:rPr>
        <w:t>/PI</w:t>
      </w:r>
      <w:r>
        <w:rPr>
          <w:rFonts w:ascii="Times New Roman" w:eastAsia="MS Gothic" w:hAnsi="Times New Roman" w:cs="Times New Roman"/>
          <w:kern w:val="0"/>
          <w:szCs w:val="24"/>
        </w:rPr>
        <w:t>⁺</w:t>
      </w:r>
      <w:r>
        <w:rPr>
          <w:rFonts w:ascii="Times New Roman" w:eastAsia="PMingLiU" w:hAnsi="Times New Roman" w:cs="Times New Roman"/>
          <w:kern w:val="0"/>
          <w:szCs w:val="24"/>
        </w:rPr>
        <w:t>).</w:t>
      </w:r>
    </w:p>
    <w:p w14:paraId="0BA080B7" w14:textId="77777777" w:rsidR="000E675A" w:rsidRDefault="000E675A">
      <w:pPr>
        <w:widowControl/>
        <w:spacing w:after="60" w:line="320" w:lineRule="exact"/>
        <w:outlineLvl w:val="1"/>
        <w:rPr>
          <w:rFonts w:ascii="Times New Roman" w:eastAsia="PMingLiU" w:hAnsi="Times New Roman" w:cs="Times New Roman"/>
          <w:kern w:val="0"/>
          <w:szCs w:val="24"/>
        </w:rPr>
      </w:pPr>
    </w:p>
    <w:p w14:paraId="27769F0F"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S10. Western blotting: lysis, electrophoresis, transfer, detection, and densitometry (expanded)</w:t>
      </w:r>
    </w:p>
    <w:p w14:paraId="0CC0CD3B"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S10.1 Lysis and protein preparation</w:t>
      </w:r>
    </w:p>
    <w:p w14:paraId="5B8E0E8C"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Cells were treated with PMR ± FA for 0, 24, or 48 h. Cells were washed with cold PBS and lysed in RIPA buffer composed of 150 mM NaCl, 5 mM EDTA, 25 mM Tris-HCl (pH 7.6), 1% NP-40, 1% sodium deoxycholate, and 0.1% SDS, supplemented with protease inhibitor cocktail (</w:t>
      </w:r>
      <w:proofErr w:type="spellStart"/>
      <w:r>
        <w:rPr>
          <w:rFonts w:ascii="Times New Roman" w:eastAsia="PMingLiU" w:hAnsi="Times New Roman" w:cs="Times New Roman"/>
          <w:kern w:val="0"/>
          <w:szCs w:val="24"/>
        </w:rPr>
        <w:t>MedChemExpress</w:t>
      </w:r>
      <w:proofErr w:type="spellEnd"/>
      <w:r>
        <w:rPr>
          <w:rFonts w:ascii="Times New Roman" w:eastAsia="PMingLiU" w:hAnsi="Times New Roman" w:cs="Times New Roman"/>
          <w:kern w:val="0"/>
          <w:szCs w:val="24"/>
        </w:rPr>
        <w:t xml:space="preserve"> Cat. #HY-</w:t>
      </w:r>
      <w:r>
        <w:rPr>
          <w:rFonts w:ascii="Times New Roman" w:eastAsia="PMingLiU" w:hAnsi="Times New Roman" w:cs="Times New Roman"/>
          <w:kern w:val="0"/>
          <w:szCs w:val="24"/>
        </w:rPr>
        <w:lastRenderedPageBreak/>
        <w:t>K0010) and phosphatase inhibitors (</w:t>
      </w:r>
      <w:proofErr w:type="spellStart"/>
      <w:r>
        <w:rPr>
          <w:rFonts w:ascii="Times New Roman" w:eastAsia="PMingLiU" w:hAnsi="Times New Roman" w:cs="Times New Roman"/>
          <w:kern w:val="0"/>
          <w:szCs w:val="24"/>
        </w:rPr>
        <w:t>MedChemExpress</w:t>
      </w:r>
      <w:proofErr w:type="spellEnd"/>
      <w:r>
        <w:rPr>
          <w:rFonts w:ascii="Times New Roman" w:eastAsia="PMingLiU" w:hAnsi="Times New Roman" w:cs="Times New Roman"/>
          <w:kern w:val="0"/>
          <w:szCs w:val="24"/>
        </w:rPr>
        <w:t xml:space="preserve"> Cat. #HY-</w:t>
      </w:r>
      <w:proofErr w:type="gramStart"/>
      <w:r>
        <w:rPr>
          <w:rFonts w:ascii="Times New Roman" w:eastAsia="PMingLiU" w:hAnsi="Times New Roman" w:cs="Times New Roman"/>
          <w:kern w:val="0"/>
          <w:szCs w:val="24"/>
        </w:rPr>
        <w:t>K0021, #</w:t>
      </w:r>
      <w:proofErr w:type="gramEnd"/>
      <w:r>
        <w:rPr>
          <w:rFonts w:ascii="Times New Roman" w:eastAsia="PMingLiU" w:hAnsi="Times New Roman" w:cs="Times New Roman"/>
          <w:kern w:val="0"/>
          <w:szCs w:val="24"/>
        </w:rPr>
        <w:t>HY-</w:t>
      </w:r>
      <w:proofErr w:type="gramStart"/>
      <w:r>
        <w:rPr>
          <w:rFonts w:ascii="Times New Roman" w:eastAsia="PMingLiU" w:hAnsi="Times New Roman" w:cs="Times New Roman"/>
          <w:kern w:val="0"/>
          <w:szCs w:val="24"/>
        </w:rPr>
        <w:t>K0022, #</w:t>
      </w:r>
      <w:proofErr w:type="gramEnd"/>
      <w:r>
        <w:rPr>
          <w:rFonts w:ascii="Times New Roman" w:eastAsia="PMingLiU" w:hAnsi="Times New Roman" w:cs="Times New Roman"/>
          <w:kern w:val="0"/>
          <w:szCs w:val="24"/>
        </w:rPr>
        <w:t>HY-K0023). Lysates were clarified by centrifugation and supernatants were collected.</w:t>
      </w:r>
    </w:p>
    <w:p w14:paraId="73D100F3"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Protein concentration was determined using BCA assay (</w:t>
      </w:r>
      <w:proofErr w:type="spellStart"/>
      <w:r>
        <w:rPr>
          <w:rFonts w:ascii="Times New Roman" w:eastAsia="PMingLiU" w:hAnsi="Times New Roman" w:cs="Times New Roman"/>
          <w:kern w:val="0"/>
          <w:szCs w:val="24"/>
        </w:rPr>
        <w:t>Thermo</w:t>
      </w:r>
      <w:proofErr w:type="spellEnd"/>
      <w:r>
        <w:rPr>
          <w:rFonts w:ascii="Times New Roman" w:eastAsia="PMingLiU" w:hAnsi="Times New Roman" w:cs="Times New Roman"/>
          <w:kern w:val="0"/>
          <w:szCs w:val="24"/>
        </w:rPr>
        <w:t xml:space="preserve"> Fisher, 23227). Samples were normalized to equal protein amounts (typically 30 </w:t>
      </w:r>
      <w:proofErr w:type="gramStart"/>
      <w:r>
        <w:rPr>
          <w:rFonts w:ascii="Times New Roman" w:eastAsia="PMingLiU" w:hAnsi="Times New Roman" w:cs="Times New Roman"/>
          <w:kern w:val="0"/>
          <w:szCs w:val="24"/>
        </w:rPr>
        <w:t>µg</w:t>
      </w:r>
      <w:proofErr w:type="gramEnd"/>
      <w:r>
        <w:rPr>
          <w:rFonts w:ascii="Times New Roman" w:eastAsia="PMingLiU" w:hAnsi="Times New Roman" w:cs="Times New Roman"/>
          <w:kern w:val="0"/>
          <w:szCs w:val="24"/>
        </w:rPr>
        <w:t xml:space="preserve"> per lane), mixed with appropriate loading buffer and reducing agent, heated as needed, and loaded for electrophoresis.</w:t>
      </w:r>
    </w:p>
    <w:p w14:paraId="341E604A"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S10.2 Gel electrophoresis and transfer</w:t>
      </w:r>
    </w:p>
    <w:p w14:paraId="0C60D406"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Proteins were resolved on Bis-Tris gels (MOEKO BIO, P20412-010, Taipei, Taiwan) and transferred to PVDF membranes (0.22 µm).</w:t>
      </w:r>
    </w:p>
    <w:p w14:paraId="79B2952F"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S10.3 Blocking, antibodies, and detection</w:t>
      </w:r>
    </w:p>
    <w:p w14:paraId="53123651"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Membranes were blocked in 3% BSA/TBST (TBST: Protech Technology Enterprise, BF204, Taipei, Taiwan) for 1 h at room temperature, incubated with primary antibodies at 4 °C overnight, washed with TBST (3×5 min), incubated with HRP-conjugated secondary antibodies for 1 h at room temperature, washed, and developed using chemiluminescent substrate (T-Pro </w:t>
      </w:r>
      <w:proofErr w:type="spellStart"/>
      <w:r>
        <w:rPr>
          <w:rFonts w:ascii="Times New Roman" w:eastAsia="PMingLiU" w:hAnsi="Times New Roman" w:cs="Times New Roman"/>
          <w:kern w:val="0"/>
          <w:szCs w:val="24"/>
        </w:rPr>
        <w:t>LumiLong</w:t>
      </w:r>
      <w:proofErr w:type="spellEnd"/>
      <w:r>
        <w:rPr>
          <w:rFonts w:ascii="Times New Roman" w:eastAsia="PMingLiU" w:hAnsi="Times New Roman" w:cs="Times New Roman"/>
          <w:kern w:val="0"/>
          <w:szCs w:val="24"/>
        </w:rPr>
        <w:t xml:space="preserve"> Plus, JT96-K004M, New Taipei City, Taiwan). Signals were captured using a </w:t>
      </w:r>
      <w:proofErr w:type="spellStart"/>
      <w:r>
        <w:rPr>
          <w:rFonts w:ascii="Times New Roman" w:eastAsia="PMingLiU" w:hAnsi="Times New Roman" w:cs="Times New Roman"/>
          <w:kern w:val="0"/>
          <w:szCs w:val="24"/>
        </w:rPr>
        <w:t>ChemiDoc</w:t>
      </w:r>
      <w:proofErr w:type="spellEnd"/>
      <w:r>
        <w:rPr>
          <w:rFonts w:ascii="Times New Roman" w:eastAsia="PMingLiU" w:hAnsi="Times New Roman" w:cs="Times New Roman"/>
          <w:kern w:val="0"/>
          <w:szCs w:val="24"/>
        </w:rPr>
        <w:t>™ MP (Bio-Rad, Hercules, CA, USA).</w:t>
      </w:r>
    </w:p>
    <w:p w14:paraId="7CBAA035"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S10.4 Densitometry</w:t>
      </w:r>
    </w:p>
    <w:p w14:paraId="1EA108D8"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Band intensities were quantified using ImageJ (v2.16.0; National Institutes of Health [NIH], Bethesda, MD, USA). Targets were normalized to β-actin and expressed relative to the time 0 control within each cell line/condition.</w:t>
      </w:r>
    </w:p>
    <w:p w14:paraId="22DCF60D" w14:textId="77777777" w:rsidR="000E675A" w:rsidRDefault="000E675A">
      <w:pPr>
        <w:widowControl/>
        <w:spacing w:after="60" w:line="320" w:lineRule="exact"/>
        <w:outlineLvl w:val="1"/>
        <w:rPr>
          <w:rFonts w:ascii="Times New Roman" w:eastAsia="PMingLiU" w:hAnsi="Times New Roman" w:cs="Times New Roman"/>
          <w:kern w:val="0"/>
          <w:szCs w:val="24"/>
        </w:rPr>
      </w:pPr>
    </w:p>
    <w:p w14:paraId="11D81150"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S11. Zebrafish husbandry, lines, imaging, and quantification (expanded)</w:t>
      </w:r>
    </w:p>
    <w:p w14:paraId="291CF392"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S11.1 Husbandry and ethics</w:t>
      </w:r>
    </w:p>
    <w:p w14:paraId="56B8E2C8"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Zebrafish were maintained in the Taiwan Zebrafish Core Facility at NHRI (AAALAC-accredited) at 28 °C with a 14:10 h </w:t>
      </w:r>
      <w:proofErr w:type="spellStart"/>
      <w:proofErr w:type="gramStart"/>
      <w:r>
        <w:rPr>
          <w:rFonts w:ascii="Times New Roman" w:eastAsia="PMingLiU" w:hAnsi="Times New Roman" w:cs="Times New Roman"/>
          <w:kern w:val="0"/>
          <w:szCs w:val="24"/>
        </w:rPr>
        <w:t>light:dark</w:t>
      </w:r>
      <w:proofErr w:type="spellEnd"/>
      <w:proofErr w:type="gramEnd"/>
      <w:r>
        <w:rPr>
          <w:rFonts w:ascii="Times New Roman" w:eastAsia="PMingLiU" w:hAnsi="Times New Roman" w:cs="Times New Roman"/>
          <w:kern w:val="0"/>
          <w:szCs w:val="24"/>
        </w:rPr>
        <w:t xml:space="preserve"> cycle. </w:t>
      </w:r>
      <w:bookmarkStart w:id="7" w:name="_Hlk220401954"/>
      <w:r>
        <w:rPr>
          <w:rFonts w:ascii="Times New Roman" w:eastAsia="PMingLiU" w:hAnsi="Times New Roman" w:cs="Times New Roman"/>
          <w:kern w:val="0"/>
          <w:szCs w:val="24"/>
        </w:rPr>
        <w:t>All procedures were approved by NHRI-IACUC (NHRI-IACUC-113155-A)</w:t>
      </w:r>
      <w:bookmarkEnd w:id="7"/>
      <w:r>
        <w:rPr>
          <w:rFonts w:ascii="Times New Roman" w:eastAsia="PMingLiU" w:hAnsi="Times New Roman" w:cs="Times New Roman"/>
          <w:kern w:val="0"/>
          <w:szCs w:val="24"/>
        </w:rPr>
        <w:t xml:space="preserve">. Embryos/larvae were raised in E3 medium and staged by </w:t>
      </w:r>
      <w:proofErr w:type="spellStart"/>
      <w:r>
        <w:rPr>
          <w:rFonts w:ascii="Times New Roman" w:eastAsia="PMingLiU" w:hAnsi="Times New Roman" w:cs="Times New Roman"/>
          <w:kern w:val="0"/>
          <w:szCs w:val="24"/>
        </w:rPr>
        <w:t>dpf</w:t>
      </w:r>
      <w:proofErr w:type="spellEnd"/>
      <w:r>
        <w:rPr>
          <w:rFonts w:ascii="Times New Roman" w:eastAsia="PMingLiU" w:hAnsi="Times New Roman" w:cs="Times New Roman"/>
          <w:kern w:val="0"/>
          <w:szCs w:val="24"/>
        </w:rPr>
        <w:t xml:space="preserve"> unless otherwise indicated.</w:t>
      </w:r>
    </w:p>
    <w:p w14:paraId="0DE0FC15"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S11.2 Lines (expanded)</w:t>
      </w:r>
    </w:p>
    <w:p w14:paraId="0B337AEA" w14:textId="77777777"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kern w:val="0"/>
          <w:szCs w:val="24"/>
        </w:rPr>
        <w:t xml:space="preserve">Transgenic lines </w:t>
      </w:r>
      <w:proofErr w:type="spellStart"/>
      <w:r>
        <w:rPr>
          <w:rFonts w:ascii="Times New Roman" w:eastAsia="PMingLiU" w:hAnsi="Times New Roman" w:cs="Times New Roman"/>
          <w:kern w:val="0"/>
          <w:szCs w:val="24"/>
        </w:rPr>
        <w:t>Tg</w:t>
      </w:r>
      <w:proofErr w:type="spellEnd"/>
      <w:r>
        <w:rPr>
          <w:rFonts w:ascii="Times New Roman" w:eastAsia="PMingLiU" w:hAnsi="Times New Roman" w:cs="Times New Roman"/>
          <w:kern w:val="0"/>
          <w:szCs w:val="24"/>
        </w:rPr>
        <w:t>(</w:t>
      </w:r>
      <w:proofErr w:type="spellStart"/>
      <w:r>
        <w:rPr>
          <w:rFonts w:ascii="Times New Roman" w:eastAsia="PMingLiU" w:hAnsi="Times New Roman" w:cs="Times New Roman"/>
          <w:kern w:val="0"/>
          <w:szCs w:val="24"/>
        </w:rPr>
        <w:t>mpeg:mCherry</w:t>
      </w:r>
      <w:proofErr w:type="spellEnd"/>
      <w:r>
        <w:rPr>
          <w:rFonts w:ascii="Times New Roman" w:eastAsia="PMingLiU" w:hAnsi="Times New Roman" w:cs="Times New Roman"/>
          <w:kern w:val="0"/>
          <w:szCs w:val="24"/>
        </w:rPr>
        <w:t xml:space="preserve">; </w:t>
      </w:r>
      <w:proofErr w:type="spellStart"/>
      <w:r>
        <w:rPr>
          <w:rFonts w:ascii="Times New Roman" w:eastAsia="PMingLiU" w:hAnsi="Times New Roman" w:cs="Times New Roman"/>
          <w:kern w:val="0"/>
          <w:szCs w:val="24"/>
        </w:rPr>
        <w:t>mpx:EGFP</w:t>
      </w:r>
      <w:proofErr w:type="spellEnd"/>
      <w:r>
        <w:rPr>
          <w:rFonts w:ascii="Times New Roman" w:eastAsia="PMingLiU" w:hAnsi="Times New Roman" w:cs="Times New Roman"/>
          <w:kern w:val="0"/>
          <w:szCs w:val="24"/>
        </w:rPr>
        <w:t xml:space="preserve">) and </w:t>
      </w:r>
      <w:proofErr w:type="spellStart"/>
      <w:r>
        <w:rPr>
          <w:rFonts w:ascii="Times New Roman" w:eastAsia="PMingLiU" w:hAnsi="Times New Roman" w:cs="Times New Roman"/>
          <w:kern w:val="0"/>
          <w:szCs w:val="24"/>
        </w:rPr>
        <w:t>Tg</w:t>
      </w:r>
      <w:proofErr w:type="spellEnd"/>
      <w:r>
        <w:rPr>
          <w:rFonts w:ascii="Times New Roman" w:eastAsia="PMingLiU" w:hAnsi="Times New Roman" w:cs="Times New Roman"/>
          <w:kern w:val="0"/>
          <w:szCs w:val="24"/>
        </w:rPr>
        <w:t xml:space="preserve">(fabp10a:Palmitoyl-mTurquoise, H2A-mCherry) and were crossed with laboratory MASLD-HCC and general HCC lines to generate </w:t>
      </w:r>
      <w:proofErr w:type="spellStart"/>
      <w:r>
        <w:rPr>
          <w:rFonts w:ascii="Times New Roman" w:eastAsia="PMingLiU" w:hAnsi="Times New Roman" w:cs="Times New Roman"/>
          <w:kern w:val="0"/>
          <w:szCs w:val="24"/>
        </w:rPr>
        <w:t>Tg</w:t>
      </w:r>
      <w:proofErr w:type="spellEnd"/>
      <w:r>
        <w:rPr>
          <w:rFonts w:ascii="Times New Roman" w:eastAsia="PMingLiU" w:hAnsi="Times New Roman" w:cs="Times New Roman"/>
          <w:kern w:val="0"/>
          <w:szCs w:val="24"/>
        </w:rPr>
        <w:t>(</w:t>
      </w:r>
      <w:proofErr w:type="spellStart"/>
      <w:r>
        <w:rPr>
          <w:rFonts w:ascii="Times New Roman" w:eastAsia="PMingLiU" w:hAnsi="Times New Roman" w:cs="Times New Roman"/>
          <w:kern w:val="0"/>
          <w:szCs w:val="24"/>
        </w:rPr>
        <w:t>mpeg:mCherry</w:t>
      </w:r>
      <w:proofErr w:type="spellEnd"/>
      <w:r>
        <w:rPr>
          <w:rFonts w:ascii="Times New Roman" w:eastAsia="PMingLiU" w:hAnsi="Times New Roman" w:cs="Times New Roman"/>
          <w:kern w:val="0"/>
          <w:szCs w:val="24"/>
        </w:rPr>
        <w:t xml:space="preserve">; </w:t>
      </w:r>
      <w:proofErr w:type="spellStart"/>
      <w:r>
        <w:rPr>
          <w:rFonts w:ascii="Times New Roman" w:eastAsia="PMingLiU" w:hAnsi="Times New Roman" w:cs="Times New Roman"/>
          <w:kern w:val="0"/>
          <w:szCs w:val="24"/>
        </w:rPr>
        <w:t>mpx:EGFP</w:t>
      </w:r>
      <w:proofErr w:type="spellEnd"/>
      <w:r>
        <w:rPr>
          <w:rFonts w:ascii="Times New Roman" w:eastAsia="PMingLiU" w:hAnsi="Times New Roman" w:cs="Times New Roman"/>
          <w:kern w:val="0"/>
          <w:szCs w:val="24"/>
        </w:rPr>
        <w:t xml:space="preserve">; fabp10a:CD36; myl7:EGFP); abcg1(KO1); </w:t>
      </w:r>
      <w:proofErr w:type="spellStart"/>
      <w:r>
        <w:rPr>
          <w:rFonts w:ascii="Times New Roman" w:eastAsia="PMingLiU" w:hAnsi="Times New Roman" w:cs="Times New Roman"/>
          <w:kern w:val="0"/>
          <w:szCs w:val="24"/>
        </w:rPr>
        <w:t>Tg</w:t>
      </w:r>
      <w:proofErr w:type="spellEnd"/>
      <w:r>
        <w:rPr>
          <w:rFonts w:ascii="Times New Roman" w:eastAsia="PMingLiU" w:hAnsi="Times New Roman" w:cs="Times New Roman"/>
          <w:kern w:val="0"/>
          <w:szCs w:val="24"/>
        </w:rPr>
        <w:t>(</w:t>
      </w:r>
      <w:proofErr w:type="spellStart"/>
      <w:r>
        <w:rPr>
          <w:rFonts w:ascii="Times New Roman" w:eastAsia="PMingLiU" w:hAnsi="Times New Roman" w:cs="Times New Roman"/>
          <w:kern w:val="0"/>
          <w:szCs w:val="24"/>
        </w:rPr>
        <w:t>mpeg:mCherry</w:t>
      </w:r>
      <w:proofErr w:type="spellEnd"/>
      <w:r>
        <w:rPr>
          <w:rFonts w:ascii="Times New Roman" w:eastAsia="PMingLiU" w:hAnsi="Times New Roman" w:cs="Times New Roman"/>
          <w:kern w:val="0"/>
          <w:szCs w:val="24"/>
        </w:rPr>
        <w:t xml:space="preserve">; </w:t>
      </w:r>
      <w:proofErr w:type="spellStart"/>
      <w:r>
        <w:rPr>
          <w:rFonts w:ascii="Times New Roman" w:eastAsia="PMingLiU" w:hAnsi="Times New Roman" w:cs="Times New Roman"/>
          <w:kern w:val="0"/>
          <w:szCs w:val="24"/>
        </w:rPr>
        <w:t>mpx:EGFP</w:t>
      </w:r>
      <w:proofErr w:type="spellEnd"/>
      <w:r>
        <w:rPr>
          <w:rFonts w:ascii="Times New Roman" w:eastAsia="PMingLiU" w:hAnsi="Times New Roman" w:cs="Times New Roman"/>
          <w:kern w:val="0"/>
          <w:szCs w:val="24"/>
        </w:rPr>
        <w:t xml:space="preserve">; fabp10a:tert; myl7:EGFP); </w:t>
      </w:r>
      <w:proofErr w:type="spellStart"/>
      <w:r>
        <w:rPr>
          <w:rFonts w:ascii="Times New Roman" w:eastAsia="PMingLiU" w:hAnsi="Times New Roman" w:cs="Times New Roman"/>
          <w:kern w:val="0"/>
          <w:szCs w:val="24"/>
        </w:rPr>
        <w:t>Tg</w:t>
      </w:r>
      <w:proofErr w:type="spellEnd"/>
      <w:r>
        <w:rPr>
          <w:rFonts w:ascii="Times New Roman" w:eastAsia="PMingLiU" w:hAnsi="Times New Roman" w:cs="Times New Roman"/>
          <w:kern w:val="0"/>
          <w:szCs w:val="24"/>
        </w:rPr>
        <w:t xml:space="preserve">(fabp10a:Palmitoyl-mTurquoise, H2A-mCherry, CD36; myl7:EGFP); abcg1(KO1) and </w:t>
      </w:r>
      <w:proofErr w:type="spellStart"/>
      <w:r>
        <w:rPr>
          <w:rFonts w:ascii="Times New Roman" w:eastAsia="PMingLiU" w:hAnsi="Times New Roman" w:cs="Times New Roman"/>
          <w:kern w:val="0"/>
          <w:szCs w:val="24"/>
        </w:rPr>
        <w:t>Tg</w:t>
      </w:r>
      <w:proofErr w:type="spellEnd"/>
      <w:r>
        <w:rPr>
          <w:rFonts w:ascii="Times New Roman" w:eastAsia="PMingLiU" w:hAnsi="Times New Roman" w:cs="Times New Roman"/>
          <w:kern w:val="0"/>
          <w:szCs w:val="24"/>
        </w:rPr>
        <w:t xml:space="preserve">(fabp10a:Palmitoyl-mTurquoise, H2A-mCherry, </w:t>
      </w:r>
      <w:proofErr w:type="spellStart"/>
      <w:r>
        <w:rPr>
          <w:rFonts w:ascii="Times New Roman" w:eastAsia="PMingLiU" w:hAnsi="Times New Roman" w:cs="Times New Roman"/>
          <w:kern w:val="0"/>
          <w:szCs w:val="24"/>
        </w:rPr>
        <w:t>tert</w:t>
      </w:r>
      <w:proofErr w:type="spellEnd"/>
      <w:r>
        <w:rPr>
          <w:rFonts w:ascii="Times New Roman" w:eastAsia="PMingLiU" w:hAnsi="Times New Roman" w:cs="Times New Roman"/>
          <w:kern w:val="0"/>
          <w:szCs w:val="24"/>
        </w:rPr>
        <w:t xml:space="preserve">; myl7:EGFP). Reporters enabled visualization </w:t>
      </w:r>
      <w:proofErr w:type="gramStart"/>
      <w:r>
        <w:rPr>
          <w:rFonts w:ascii="Times New Roman" w:eastAsia="PMingLiU" w:hAnsi="Times New Roman" w:cs="Times New Roman"/>
          <w:kern w:val="0"/>
          <w:szCs w:val="24"/>
        </w:rPr>
        <w:t>of:</w:t>
      </w:r>
      <w:proofErr w:type="gramEnd"/>
      <w:r>
        <w:rPr>
          <w:rFonts w:ascii="Times New Roman" w:eastAsia="PMingLiU" w:hAnsi="Times New Roman" w:cs="Times New Roman"/>
          <w:kern w:val="0"/>
          <w:szCs w:val="24"/>
        </w:rPr>
        <w:t xml:space="preserve"> macrophages (</w:t>
      </w:r>
      <w:proofErr w:type="spellStart"/>
      <w:proofErr w:type="gramStart"/>
      <w:r>
        <w:rPr>
          <w:rFonts w:ascii="Times New Roman" w:eastAsia="PMingLiU" w:hAnsi="Times New Roman" w:cs="Times New Roman"/>
          <w:kern w:val="0"/>
          <w:szCs w:val="24"/>
        </w:rPr>
        <w:t>mpeg:mCherry</w:t>
      </w:r>
      <w:proofErr w:type="spellEnd"/>
      <w:proofErr w:type="gramEnd"/>
      <w:r>
        <w:rPr>
          <w:rFonts w:ascii="Times New Roman" w:eastAsia="PMingLiU" w:hAnsi="Times New Roman" w:cs="Times New Roman"/>
          <w:kern w:val="0"/>
          <w:szCs w:val="24"/>
        </w:rPr>
        <w:t>), neutrophils (</w:t>
      </w:r>
      <w:proofErr w:type="spellStart"/>
      <w:proofErr w:type="gramStart"/>
      <w:r>
        <w:rPr>
          <w:rFonts w:ascii="Times New Roman" w:eastAsia="PMingLiU" w:hAnsi="Times New Roman" w:cs="Times New Roman"/>
          <w:kern w:val="0"/>
          <w:szCs w:val="24"/>
        </w:rPr>
        <w:t>mpx:EGFP</w:t>
      </w:r>
      <w:proofErr w:type="spellEnd"/>
      <w:proofErr w:type="gramEnd"/>
      <w:r>
        <w:rPr>
          <w:rFonts w:ascii="Times New Roman" w:eastAsia="PMingLiU" w:hAnsi="Times New Roman" w:cs="Times New Roman"/>
          <w:kern w:val="0"/>
          <w:szCs w:val="24"/>
        </w:rPr>
        <w:t>), hepatocyte membranes (fabp10</w:t>
      </w:r>
      <w:proofErr w:type="gramStart"/>
      <w:r>
        <w:rPr>
          <w:rFonts w:ascii="Times New Roman" w:eastAsia="PMingLiU" w:hAnsi="Times New Roman" w:cs="Times New Roman"/>
          <w:kern w:val="0"/>
          <w:szCs w:val="24"/>
        </w:rPr>
        <w:t>a:Palmitoyl</w:t>
      </w:r>
      <w:proofErr w:type="gramEnd"/>
      <w:r>
        <w:rPr>
          <w:rFonts w:ascii="Times New Roman" w:eastAsia="PMingLiU" w:hAnsi="Times New Roman" w:cs="Times New Roman"/>
          <w:kern w:val="0"/>
          <w:szCs w:val="24"/>
        </w:rPr>
        <w:t>-mTurquoise), nuclei (fabp10a:H2A-mCherry), and myocardium (myl</w:t>
      </w:r>
      <w:proofErr w:type="gramStart"/>
      <w:r>
        <w:rPr>
          <w:rFonts w:ascii="Times New Roman" w:eastAsia="PMingLiU" w:hAnsi="Times New Roman" w:cs="Times New Roman"/>
          <w:kern w:val="0"/>
          <w:szCs w:val="24"/>
        </w:rPr>
        <w:t>7:EGFP</w:t>
      </w:r>
      <w:proofErr w:type="gramEnd"/>
      <w:r>
        <w:rPr>
          <w:rFonts w:ascii="Times New Roman" w:eastAsia="PMingLiU" w:hAnsi="Times New Roman" w:cs="Times New Roman"/>
          <w:kern w:val="0"/>
          <w:szCs w:val="24"/>
        </w:rPr>
        <w:t>) as an anatomical reference.</w:t>
      </w:r>
    </w:p>
    <w:p w14:paraId="50FF08D9" w14:textId="77777777" w:rsidR="000E675A" w:rsidRDefault="000E675A">
      <w:pPr>
        <w:widowControl/>
        <w:spacing w:after="60" w:line="320" w:lineRule="exact"/>
        <w:outlineLvl w:val="1"/>
        <w:rPr>
          <w:rFonts w:ascii="Times New Roman" w:eastAsia="PMingLiU" w:hAnsi="Times New Roman" w:cs="Times New Roman"/>
          <w:b/>
          <w:bCs/>
          <w:kern w:val="0"/>
          <w:szCs w:val="24"/>
        </w:rPr>
      </w:pPr>
    </w:p>
    <w:p w14:paraId="63033C41"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S12. Embryotoxicity (expanded)</w:t>
      </w:r>
    </w:p>
    <w:p w14:paraId="0E2B7823" w14:textId="77777777" w:rsidR="000E675A" w:rsidRDefault="00000000">
      <w:pPr>
        <w:spacing w:afterLines="20" w:after="72" w:line="320" w:lineRule="exact"/>
        <w:ind w:firstLine="482"/>
        <w:jc w:val="both"/>
        <w:rPr>
          <w:rFonts w:ascii="Times New Roman" w:hAnsi="Times New Roman" w:cs="Times New Roman"/>
          <w:szCs w:val="24"/>
        </w:rPr>
      </w:pPr>
      <w:bookmarkStart w:id="8" w:name="_Toc204085850"/>
      <w:bookmarkStart w:id="9" w:name="_Toc204855135"/>
      <w:r>
        <w:rPr>
          <w:rFonts w:ascii="Times New Roman" w:hAnsi="Times New Roman" w:cs="Times New Roman"/>
          <w:szCs w:val="24"/>
        </w:rPr>
        <w:t xml:space="preserve">Embryos were collected at ~2 h post-spawning, screened to remove non-viable embryos, and maintained in E3 buffer (5 mM NaCl, 0.17 mM KCl, 0.33 mM </w:t>
      </w:r>
      <w:proofErr w:type="spellStart"/>
      <w:r>
        <w:rPr>
          <w:rFonts w:ascii="Times New Roman" w:hAnsi="Times New Roman" w:cs="Times New Roman"/>
          <w:szCs w:val="24"/>
        </w:rPr>
        <w:t>CaCl</w:t>
      </w:r>
      <w:proofErr w:type="spellEnd"/>
      <w:r>
        <w:rPr>
          <w:rFonts w:ascii="Times New Roman" w:hAnsi="Times New Roman" w:cs="Times New Roman"/>
          <w:szCs w:val="24"/>
        </w:rPr>
        <w:t xml:space="preserve">₂, 0.33 mM </w:t>
      </w:r>
      <w:proofErr w:type="spellStart"/>
      <w:r>
        <w:rPr>
          <w:rFonts w:ascii="Times New Roman" w:hAnsi="Times New Roman" w:cs="Times New Roman"/>
          <w:szCs w:val="24"/>
        </w:rPr>
        <w:t>MgSO</w:t>
      </w:r>
      <w:proofErr w:type="spellEnd"/>
      <w:r>
        <w:rPr>
          <w:rFonts w:ascii="Times New Roman" w:hAnsi="Times New Roman" w:cs="Times New Roman"/>
          <w:szCs w:val="24"/>
        </w:rPr>
        <w:t>₄; pH 7.2) at 28 °C. Taiwan propolis was applied from 3 h post-fertilization (</w:t>
      </w:r>
      <w:proofErr w:type="spellStart"/>
      <w:r>
        <w:rPr>
          <w:rFonts w:ascii="Times New Roman" w:hAnsi="Times New Roman" w:cs="Times New Roman"/>
          <w:szCs w:val="24"/>
        </w:rPr>
        <w:t>hpf</w:t>
      </w:r>
      <w:proofErr w:type="spellEnd"/>
      <w:r>
        <w:rPr>
          <w:rFonts w:ascii="Times New Roman" w:hAnsi="Times New Roman" w:cs="Times New Roman"/>
          <w:szCs w:val="24"/>
        </w:rPr>
        <w:t xml:space="preserve">) to 5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with daily renewal. Survival and gross morphological abnormalities were recorded daily by stereomicroscopy. </w:t>
      </w:r>
      <w:r>
        <w:rPr>
          <w:rFonts w:ascii="Times New Roman" w:hAnsi="Times New Roman" w:cs="Times New Roman"/>
        </w:rPr>
        <w:t xml:space="preserve">Sample sizes per concentration were </w:t>
      </w:r>
      <w:r>
        <w:rPr>
          <w:rStyle w:val="Strong"/>
          <w:rFonts w:ascii="Times New Roman" w:hAnsi="Times New Roman" w:cs="Times New Roman"/>
          <w:b w:val="0"/>
        </w:rPr>
        <w:t>n = 10 embryos</w:t>
      </w:r>
      <w:r>
        <w:rPr>
          <w:rFonts w:ascii="Times New Roman" w:hAnsi="Times New Roman" w:cs="Times New Roman"/>
          <w:bCs/>
        </w:rPr>
        <w:t>,</w:t>
      </w:r>
      <w:r>
        <w:rPr>
          <w:rFonts w:ascii="Times New Roman" w:hAnsi="Times New Roman" w:cs="Times New Roman"/>
        </w:rPr>
        <w:t xml:space="preserve"> repeated across </w:t>
      </w:r>
      <w:r>
        <w:rPr>
          <w:rStyle w:val="Strong"/>
          <w:rFonts w:ascii="Times New Roman" w:hAnsi="Times New Roman" w:cs="Times New Roman"/>
          <w:b w:val="0"/>
        </w:rPr>
        <w:t>3 independent clutches/experiments</w:t>
      </w:r>
      <w:r>
        <w:rPr>
          <w:rFonts w:ascii="Times New Roman" w:hAnsi="Times New Roman" w:cs="Times New Roman"/>
          <w:bCs/>
        </w:rPr>
        <w:t>.</w:t>
      </w:r>
    </w:p>
    <w:bookmarkEnd w:id="8"/>
    <w:bookmarkEnd w:id="9"/>
    <w:p w14:paraId="34AC871F" w14:textId="77777777" w:rsidR="000E675A" w:rsidRDefault="000E675A">
      <w:pPr>
        <w:widowControl/>
        <w:spacing w:after="60" w:line="320" w:lineRule="exact"/>
        <w:rPr>
          <w:rFonts w:ascii="Times New Roman" w:eastAsia="PMingLiU" w:hAnsi="Times New Roman" w:cs="Times New Roman"/>
          <w:kern w:val="0"/>
          <w:szCs w:val="24"/>
        </w:rPr>
      </w:pPr>
    </w:p>
    <w:p w14:paraId="59C870C6"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S13. Diet, drug exposure, randomization, and blinding (expanded)</w:t>
      </w:r>
    </w:p>
    <w:p w14:paraId="799B44D3" w14:textId="77777777" w:rsidR="000E675A" w:rsidRDefault="00000000">
      <w:pPr>
        <w:widowControl/>
        <w:spacing w:after="60" w:line="320" w:lineRule="exact"/>
        <w:ind w:firstLine="482"/>
        <w:jc w:val="both"/>
        <w:rPr>
          <w:rFonts w:ascii="Times New Roman" w:hAnsi="Times New Roman" w:cs="Times New Roman"/>
          <w:szCs w:val="24"/>
        </w:rPr>
      </w:pPr>
      <w:r>
        <w:rPr>
          <w:rFonts w:ascii="Times New Roman" w:hAnsi="Times New Roman" w:cs="Times New Roman"/>
          <w:szCs w:val="24"/>
        </w:rPr>
        <w:t xml:space="preserve">To inhibit pigmentation for imaging, larvae were maintained in PTU-supplemented E3 (0.002% PTU from 2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0.003% from 9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Until 5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larvae were housed in Petri dishes; thereafter, cohorts were transferred to tanks (n ≈ 40 per tank) and fed a standardized schedule (paramecia and </w:t>
      </w:r>
      <w:r>
        <w:rPr>
          <w:rFonts w:ascii="Times New Roman" w:hAnsi="Times New Roman" w:cs="Times New Roman"/>
          <w:i/>
          <w:iCs/>
          <w:szCs w:val="24"/>
        </w:rPr>
        <w:t>Artemia</w:t>
      </w:r>
      <w:r>
        <w:rPr>
          <w:rFonts w:ascii="Times New Roman" w:hAnsi="Times New Roman" w:cs="Times New Roman"/>
          <w:szCs w:val="24"/>
        </w:rPr>
        <w:t xml:space="preserve">). </w:t>
      </w:r>
      <w:r>
        <w:rPr>
          <w:rFonts w:ascii="Times New Roman" w:hAnsi="Times New Roman" w:cs="Times New Roman"/>
          <w:i/>
          <w:szCs w:val="24"/>
        </w:rPr>
        <w:lastRenderedPageBreak/>
        <w:t>CD</w:t>
      </w:r>
      <w:proofErr w:type="gramStart"/>
      <w:r>
        <w:rPr>
          <w:rFonts w:ascii="Times New Roman" w:hAnsi="Times New Roman" w:cs="Times New Roman"/>
          <w:i/>
          <w:szCs w:val="24"/>
        </w:rPr>
        <w:t>36;abcg</w:t>
      </w:r>
      <w:proofErr w:type="gramEnd"/>
      <w:r>
        <w:rPr>
          <w:rFonts w:ascii="Times New Roman" w:hAnsi="Times New Roman" w:cs="Times New Roman"/>
          <w:i/>
          <w:szCs w:val="24"/>
        </w:rPr>
        <w:t>1(KO1)</w:t>
      </w:r>
      <w:r>
        <w:rPr>
          <w:rFonts w:ascii="Times New Roman" w:hAnsi="Times New Roman" w:cs="Times New Roman"/>
          <w:szCs w:val="24"/>
        </w:rPr>
        <w:t xml:space="preserve"> lines received a high-fat diet (24% fat</w:t>
      </w:r>
      <w:proofErr w:type="gramStart"/>
      <w:r>
        <w:rPr>
          <w:rFonts w:ascii="Times New Roman" w:hAnsi="Times New Roman" w:cs="Times New Roman"/>
          <w:szCs w:val="24"/>
        </w:rPr>
        <w:t>) ,</w:t>
      </w:r>
      <w:proofErr w:type="gramEnd"/>
      <w:r>
        <w:rPr>
          <w:rFonts w:ascii="Times New Roman" w:hAnsi="Times New Roman" w:cs="Times New Roman"/>
          <w:szCs w:val="24"/>
        </w:rPr>
        <w:t xml:space="preserve"> whereas other lines received a standard diet (LD100, 12% fat). Drug doses were selected based on embryotoxicity testing. Stock solutions were prepared in </w:t>
      </w:r>
      <w:proofErr w:type="spellStart"/>
      <w:r>
        <w:rPr>
          <w:rFonts w:ascii="Times New Roman" w:hAnsi="Times New Roman" w:cs="Times New Roman"/>
          <w:szCs w:val="24"/>
        </w:rPr>
        <w:t>ddH₂O</w:t>
      </w:r>
      <w:proofErr w:type="spellEnd"/>
      <w:r>
        <w:rPr>
          <w:rFonts w:ascii="Times New Roman" w:hAnsi="Times New Roman" w:cs="Times New Roman"/>
          <w:szCs w:val="24"/>
        </w:rPr>
        <w:t xml:space="preserve"> or DMSO and diluted in E3 for daily bath treatment in 24-well plates (one larva per well) from 10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to 15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with daily renewal. Larvae were randomly allocated to treatment groups. Confocal images were acquired under standardized settings (Section 2.14). Images were coded prior to analysis, and ImageJ-based quantification was performed with the analyst blinded to treatment group.</w:t>
      </w:r>
    </w:p>
    <w:p w14:paraId="54AC5E3E" w14:textId="77777777" w:rsidR="000E675A" w:rsidRDefault="000E675A">
      <w:pPr>
        <w:widowControl/>
        <w:spacing w:after="60" w:line="320" w:lineRule="exact"/>
        <w:rPr>
          <w:rFonts w:ascii="Times New Roman" w:eastAsia="PMingLiU" w:hAnsi="Times New Roman" w:cs="Times New Roman"/>
          <w:kern w:val="0"/>
          <w:szCs w:val="24"/>
        </w:rPr>
      </w:pPr>
    </w:p>
    <w:p w14:paraId="73A859A5"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S14. Confocal microscopy (expanded)</w:t>
      </w:r>
    </w:p>
    <w:p w14:paraId="1C840914" w14:textId="77777777" w:rsidR="000E675A" w:rsidRDefault="00000000">
      <w:pPr>
        <w:widowControl/>
        <w:spacing w:after="60" w:line="320" w:lineRule="exact"/>
        <w:ind w:firstLine="482"/>
        <w:jc w:val="both"/>
        <w:rPr>
          <w:rFonts w:ascii="Times New Roman" w:eastAsia="PMingLiU" w:hAnsi="Times New Roman" w:cs="Times New Roman"/>
          <w:kern w:val="0"/>
          <w:szCs w:val="24"/>
        </w:rPr>
      </w:pPr>
      <w:r>
        <w:rPr>
          <w:rFonts w:ascii="Times New Roman" w:hAnsi="Times New Roman" w:cs="Times New Roman"/>
          <w:szCs w:val="24"/>
        </w:rPr>
        <w:t>Larvae were anesthetized with 1× tricaine (MS-222, Sigma-Aldrich, Cat. # 108321-42-2) and mounted in 1.25% low-melting agarose (</w:t>
      </w:r>
      <w:proofErr w:type="spellStart"/>
      <w:r>
        <w:rPr>
          <w:rFonts w:ascii="Times New Roman" w:hAnsi="Times New Roman" w:cs="Times New Roman"/>
          <w:szCs w:val="24"/>
        </w:rPr>
        <w:t>Zymeset</w:t>
      </w:r>
      <w:proofErr w:type="spellEnd"/>
      <w:r>
        <w:rPr>
          <w:rFonts w:ascii="Times New Roman" w:hAnsi="Times New Roman" w:cs="Times New Roman"/>
          <w:szCs w:val="24"/>
        </w:rPr>
        <w:t xml:space="preserve">, Taipei, Taiwan, Cat. #BAG102) in PTU/E3 on glass-bottom dishes. </w:t>
      </w:r>
      <w:proofErr w:type="spellStart"/>
      <w:proofErr w:type="gramStart"/>
      <w:r>
        <w:rPr>
          <w:rFonts w:ascii="Times New Roman" w:hAnsi="Times New Roman" w:cs="Times New Roman"/>
          <w:i/>
          <w:szCs w:val="24"/>
        </w:rPr>
        <w:t>Tg</w:t>
      </w:r>
      <w:proofErr w:type="spellEnd"/>
      <w:r>
        <w:rPr>
          <w:rFonts w:ascii="Times New Roman" w:hAnsi="Times New Roman" w:cs="Times New Roman"/>
          <w:i/>
          <w:szCs w:val="24"/>
        </w:rPr>
        <w:t>(</w:t>
      </w:r>
      <w:proofErr w:type="spellStart"/>
      <w:r>
        <w:rPr>
          <w:rFonts w:ascii="Times New Roman" w:hAnsi="Times New Roman" w:cs="Times New Roman"/>
          <w:i/>
          <w:szCs w:val="24"/>
        </w:rPr>
        <w:t>mpeg:mCherry</w:t>
      </w:r>
      <w:proofErr w:type="spellEnd"/>
      <w:proofErr w:type="gramEnd"/>
      <w:r>
        <w:rPr>
          <w:rFonts w:ascii="Times New Roman" w:hAnsi="Times New Roman" w:cs="Times New Roman"/>
          <w:i/>
          <w:szCs w:val="24"/>
        </w:rPr>
        <w:t xml:space="preserve">; </w:t>
      </w:r>
      <w:proofErr w:type="spellStart"/>
      <w:proofErr w:type="gramStart"/>
      <w:r>
        <w:rPr>
          <w:rFonts w:ascii="Times New Roman" w:hAnsi="Times New Roman" w:cs="Times New Roman"/>
          <w:i/>
          <w:szCs w:val="24"/>
        </w:rPr>
        <w:t>mpx:EGFP</w:t>
      </w:r>
      <w:proofErr w:type="spellEnd"/>
      <w:proofErr w:type="gramEnd"/>
      <w:r>
        <w:rPr>
          <w:rFonts w:ascii="Times New Roman" w:hAnsi="Times New Roman" w:cs="Times New Roman"/>
          <w:i/>
          <w:szCs w:val="24"/>
        </w:rPr>
        <w:t>)</w:t>
      </w:r>
      <w:r>
        <w:rPr>
          <w:rFonts w:ascii="Times New Roman" w:hAnsi="Times New Roman" w:cs="Times New Roman"/>
          <w:szCs w:val="24"/>
        </w:rPr>
        <w:t xml:space="preserve">, </w:t>
      </w:r>
      <w:r>
        <w:rPr>
          <w:rFonts w:ascii="Times New Roman" w:hAnsi="Times New Roman" w:cs="Times New Roman"/>
          <w:iCs/>
          <w:szCs w:val="24"/>
        </w:rPr>
        <w:t xml:space="preserve">derivatives </w:t>
      </w:r>
      <w:r>
        <w:rPr>
          <w:rFonts w:ascii="Times New Roman" w:hAnsi="Times New Roman" w:cs="Times New Roman"/>
          <w:szCs w:val="24"/>
        </w:rPr>
        <w:t xml:space="preserve">were imaged at 9, 12, and 15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on a Leica TCS SP5 </w:t>
      </w:r>
      <w:r>
        <w:rPr>
          <w:rFonts w:ascii="Times New Roman" w:hAnsi="Times New Roman" w:cs="Times New Roman"/>
        </w:rPr>
        <w:t>confocal microscope (Leica Microsystems, Wetzlar, Germany)</w:t>
      </w:r>
      <w:r>
        <w:rPr>
          <w:rFonts w:ascii="Times New Roman" w:hAnsi="Times New Roman" w:cs="Times New Roman"/>
          <w:szCs w:val="24"/>
        </w:rPr>
        <w:t xml:space="preserve">. </w:t>
      </w:r>
      <w:proofErr w:type="spellStart"/>
      <w:proofErr w:type="gramStart"/>
      <w:r>
        <w:rPr>
          <w:rFonts w:ascii="Times New Roman" w:hAnsi="Times New Roman" w:cs="Times New Roman"/>
          <w:szCs w:val="24"/>
        </w:rPr>
        <w:t>Tg</w:t>
      </w:r>
      <w:proofErr w:type="spellEnd"/>
      <w:r>
        <w:rPr>
          <w:rFonts w:ascii="Times New Roman" w:hAnsi="Times New Roman" w:cs="Times New Roman"/>
          <w:szCs w:val="24"/>
        </w:rPr>
        <w:t>(</w:t>
      </w:r>
      <w:proofErr w:type="gramEnd"/>
      <w:r>
        <w:rPr>
          <w:rFonts w:ascii="Times New Roman" w:hAnsi="Times New Roman" w:cs="Times New Roman"/>
          <w:szCs w:val="24"/>
        </w:rPr>
        <w:t>fabp10</w:t>
      </w:r>
      <w:proofErr w:type="gramStart"/>
      <w:r>
        <w:rPr>
          <w:rFonts w:ascii="Times New Roman" w:hAnsi="Times New Roman" w:cs="Times New Roman"/>
          <w:szCs w:val="24"/>
        </w:rPr>
        <w:t>a:Palmitoyl</w:t>
      </w:r>
      <w:proofErr w:type="gramEnd"/>
      <w:r>
        <w:rPr>
          <w:rFonts w:ascii="Times New Roman" w:hAnsi="Times New Roman" w:cs="Times New Roman"/>
          <w:szCs w:val="24"/>
        </w:rPr>
        <w:t xml:space="preserve">-mTurquoise, H2A-mCherry) derivatives were imaged at 9 and 15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on a Leica Stellaris 8 using identical acquisition settings within each experiment. Images were analyzed in ImageJ. Hepatic macrophage and neutrophil infiltration were quantified within a predefined liver ROI, and densities were normalized to liver area to account for inter-individual variation in liver size (reported as cells or fluorescent area per liver area; see Supplementary Methods). The macrophage infiltration ratio was defined as the area-normalized hepatic macrophage density at 15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divided by that at 9 </w:t>
      </w:r>
      <w:proofErr w:type="spellStart"/>
      <w:r>
        <w:rPr>
          <w:rFonts w:ascii="Times New Roman" w:hAnsi="Times New Roman" w:cs="Times New Roman"/>
          <w:szCs w:val="24"/>
        </w:rPr>
        <w:t>dpf</w:t>
      </w:r>
      <w:proofErr w:type="spellEnd"/>
      <w:r>
        <w:rPr>
          <w:rFonts w:ascii="Times New Roman" w:hAnsi="Times New Roman" w:cs="Times New Roman"/>
          <w:szCs w:val="24"/>
        </w:rPr>
        <w:t xml:space="preserve"> (or 12 </w:t>
      </w:r>
      <w:proofErr w:type="spellStart"/>
      <w:r>
        <w:rPr>
          <w:rFonts w:ascii="Times New Roman" w:hAnsi="Times New Roman" w:cs="Times New Roman"/>
          <w:szCs w:val="24"/>
        </w:rPr>
        <w:t>dpf</w:t>
      </w:r>
      <w:proofErr w:type="spellEnd"/>
      <w:r>
        <w:rPr>
          <w:rFonts w:ascii="Times New Roman" w:hAnsi="Times New Roman" w:cs="Times New Roman"/>
          <w:szCs w:val="24"/>
        </w:rPr>
        <w:t>, as indicated). The same approach was applied to neutrophil density ratios</w:t>
      </w:r>
      <w:r>
        <w:rPr>
          <w:rFonts w:ascii="Times New Roman" w:eastAsia="PMingLiU" w:hAnsi="Times New Roman" w:cs="Times New Roman"/>
          <w:kern w:val="0"/>
          <w:szCs w:val="24"/>
        </w:rPr>
        <w:t>.</w:t>
      </w:r>
    </w:p>
    <w:p w14:paraId="105CFABE" w14:textId="77777777" w:rsidR="000E675A" w:rsidRDefault="000E675A">
      <w:pPr>
        <w:widowControl/>
        <w:spacing w:after="60" w:line="320" w:lineRule="exact"/>
        <w:outlineLvl w:val="1"/>
        <w:rPr>
          <w:rFonts w:ascii="Times New Roman" w:eastAsia="PMingLiU" w:hAnsi="Times New Roman" w:cs="Times New Roman"/>
          <w:kern w:val="0"/>
          <w:szCs w:val="24"/>
        </w:rPr>
      </w:pPr>
    </w:p>
    <w:p w14:paraId="5A0C0085" w14:textId="77777777" w:rsidR="000E675A" w:rsidRDefault="00000000">
      <w:pPr>
        <w:widowControl/>
        <w:spacing w:after="60" w:line="320" w:lineRule="exact"/>
        <w:outlineLvl w:val="1"/>
        <w:rPr>
          <w:rFonts w:ascii="Times New Roman" w:eastAsia="PMingLiU" w:hAnsi="Times New Roman" w:cs="Times New Roman"/>
          <w:b/>
          <w:bCs/>
          <w:kern w:val="0"/>
          <w:szCs w:val="24"/>
        </w:rPr>
      </w:pPr>
      <w:r>
        <w:rPr>
          <w:rFonts w:ascii="Times New Roman" w:eastAsia="PMingLiU" w:hAnsi="Times New Roman" w:cs="Times New Roman"/>
          <w:b/>
          <w:bCs/>
          <w:kern w:val="0"/>
          <w:szCs w:val="24"/>
        </w:rPr>
        <w:t>Supplementary Methods S15. RNA extraction, cDNA synthesis, and qPCR (expanded)</w:t>
      </w:r>
    </w:p>
    <w:p w14:paraId="197CE2AF"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S15.1 RNA extraction from zebrafish larvae</w:t>
      </w:r>
    </w:p>
    <w:p w14:paraId="67110A6B"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Total RNA was isolated from individual larvae using </w:t>
      </w:r>
      <w:proofErr w:type="spellStart"/>
      <w:r>
        <w:rPr>
          <w:rFonts w:ascii="Times New Roman" w:eastAsia="PMingLiU" w:hAnsi="Times New Roman" w:cs="Times New Roman"/>
          <w:kern w:val="0"/>
          <w:szCs w:val="24"/>
        </w:rPr>
        <w:t>NucleoSpin</w:t>
      </w:r>
      <w:proofErr w:type="spellEnd"/>
      <w:r>
        <w:rPr>
          <w:rFonts w:ascii="Times New Roman" w:eastAsia="PMingLiU" w:hAnsi="Times New Roman" w:cs="Times New Roman"/>
          <w:kern w:val="0"/>
          <w:szCs w:val="24"/>
        </w:rPr>
        <w:t xml:space="preserve">® RNA (MACHEREY-NAGEL </w:t>
      </w:r>
      <w:bookmarkStart w:id="10" w:name="_Hlk220699066"/>
      <w:r>
        <w:rPr>
          <w:rFonts w:ascii="Times New Roman" w:eastAsia="PMingLiU" w:hAnsi="Times New Roman" w:cs="Times New Roman"/>
          <w:kern w:val="0"/>
          <w:szCs w:val="24"/>
        </w:rPr>
        <w:t xml:space="preserve">GmbH &amp; Co. </w:t>
      </w:r>
      <w:bookmarkEnd w:id="10"/>
      <w:r>
        <w:rPr>
          <w:rFonts w:ascii="Times New Roman" w:eastAsia="PMingLiU" w:hAnsi="Times New Roman" w:cs="Times New Roman"/>
          <w:kern w:val="0"/>
          <w:szCs w:val="24"/>
        </w:rPr>
        <w:t xml:space="preserve">KG, 740955.50, </w:t>
      </w:r>
      <w:bookmarkStart w:id="11" w:name="_Hlk220699151"/>
      <w:proofErr w:type="spellStart"/>
      <w:r>
        <w:rPr>
          <w:rFonts w:ascii="Times New Roman" w:eastAsia="PMingLiU" w:hAnsi="Times New Roman" w:cs="Times New Roman"/>
          <w:kern w:val="0"/>
          <w:szCs w:val="24"/>
        </w:rPr>
        <w:t>Düren</w:t>
      </w:r>
      <w:proofErr w:type="spellEnd"/>
      <w:r>
        <w:rPr>
          <w:rFonts w:ascii="Times New Roman" w:eastAsia="PMingLiU" w:hAnsi="Times New Roman" w:cs="Times New Roman"/>
          <w:kern w:val="0"/>
          <w:szCs w:val="24"/>
        </w:rPr>
        <w:t>, Germany</w:t>
      </w:r>
      <w:bookmarkEnd w:id="11"/>
      <w:r>
        <w:rPr>
          <w:rFonts w:ascii="Times New Roman" w:eastAsia="PMingLiU" w:hAnsi="Times New Roman" w:cs="Times New Roman"/>
          <w:kern w:val="0"/>
          <w:szCs w:val="24"/>
        </w:rPr>
        <w:t>) with minor modifications. Individual larvae were homogenized in 350 µL RA1 buffer supplemented with 3.5 µL β-</w:t>
      </w:r>
      <w:proofErr w:type="spellStart"/>
      <w:r>
        <w:rPr>
          <w:rFonts w:ascii="Times New Roman" w:eastAsia="PMingLiU" w:hAnsi="Times New Roman" w:cs="Times New Roman"/>
          <w:kern w:val="0"/>
          <w:szCs w:val="24"/>
        </w:rPr>
        <w:t>mercaptoethanol</w:t>
      </w:r>
      <w:proofErr w:type="spellEnd"/>
      <w:r>
        <w:rPr>
          <w:rFonts w:ascii="Times New Roman" w:eastAsia="PMingLiU" w:hAnsi="Times New Roman" w:cs="Times New Roman"/>
          <w:kern w:val="0"/>
          <w:szCs w:val="24"/>
        </w:rPr>
        <w:t xml:space="preserve"> using 0.5-mm RNase-free zirconium beads in a Bullet Blender. Lysates were clarified using </w:t>
      </w:r>
      <w:proofErr w:type="spellStart"/>
      <w:r>
        <w:rPr>
          <w:rFonts w:ascii="Times New Roman" w:eastAsia="PMingLiU" w:hAnsi="Times New Roman" w:cs="Times New Roman"/>
          <w:kern w:val="0"/>
          <w:szCs w:val="24"/>
        </w:rPr>
        <w:t>NucleoSpin</w:t>
      </w:r>
      <w:proofErr w:type="spellEnd"/>
      <w:r>
        <w:rPr>
          <w:rFonts w:ascii="Times New Roman" w:eastAsia="PMingLiU" w:hAnsi="Times New Roman" w:cs="Times New Roman"/>
          <w:kern w:val="0"/>
          <w:szCs w:val="24"/>
        </w:rPr>
        <w:t xml:space="preserve">® Filters (11,000 × </w:t>
      </w:r>
      <w:r>
        <w:rPr>
          <w:rFonts w:ascii="Times New Roman" w:eastAsia="PMingLiU" w:hAnsi="Times New Roman" w:cs="Times New Roman"/>
          <w:i/>
          <w:iCs/>
          <w:kern w:val="0"/>
          <w:szCs w:val="24"/>
        </w:rPr>
        <w:t>g</w:t>
      </w:r>
      <w:r>
        <w:rPr>
          <w:rFonts w:ascii="Times New Roman" w:eastAsia="PMingLiU" w:hAnsi="Times New Roman" w:cs="Times New Roman"/>
          <w:kern w:val="0"/>
          <w:szCs w:val="24"/>
        </w:rPr>
        <w:t xml:space="preserve">, 1 min, 4 °C), mixed with 70% ethanol (1:1, v/v), loaded onto columns, and subjected to on-column DNase digestion (95 µL, 30–60 min). Columns were washed per kit instructions and RNA was eluted in 20 µL RNase-free water (13,000 × </w:t>
      </w:r>
      <w:r>
        <w:rPr>
          <w:rFonts w:ascii="Times New Roman" w:eastAsia="PMingLiU" w:hAnsi="Times New Roman" w:cs="Times New Roman"/>
          <w:i/>
          <w:iCs/>
          <w:kern w:val="0"/>
          <w:szCs w:val="24"/>
        </w:rPr>
        <w:t>g</w:t>
      </w:r>
      <w:r>
        <w:rPr>
          <w:rFonts w:ascii="Times New Roman" w:eastAsia="PMingLiU" w:hAnsi="Times New Roman" w:cs="Times New Roman"/>
          <w:kern w:val="0"/>
          <w:szCs w:val="24"/>
        </w:rPr>
        <w:t xml:space="preserve">, 2 min). RNA was quantified by </w:t>
      </w:r>
      <w:proofErr w:type="spellStart"/>
      <w:r>
        <w:rPr>
          <w:rFonts w:ascii="Times New Roman" w:eastAsia="PMingLiU" w:hAnsi="Times New Roman" w:cs="Times New Roman"/>
          <w:kern w:val="0"/>
          <w:szCs w:val="24"/>
        </w:rPr>
        <w:t>NanoDrop</w:t>
      </w:r>
      <w:proofErr w:type="spellEnd"/>
      <w:r>
        <w:rPr>
          <w:rFonts w:ascii="Times New Roman" w:eastAsia="PMingLiU" w:hAnsi="Times New Roman" w:cs="Times New Roman"/>
          <w:kern w:val="0"/>
          <w:szCs w:val="24"/>
        </w:rPr>
        <w:t xml:space="preserve"> and stored at</w:t>
      </w:r>
      <w:r>
        <w:rPr>
          <w:rFonts w:ascii="Times New Roman" w:eastAsia="等线" w:hAnsi="Times New Roman" w:cs="Times New Roman" w:hint="eastAsia"/>
          <w:kern w:val="0"/>
          <w:szCs w:val="24"/>
          <w:lang w:eastAsia="zh-CN"/>
        </w:rPr>
        <w:t xml:space="preserve"> </w:t>
      </w:r>
      <w:r>
        <w:rPr>
          <w:rFonts w:ascii="Times New Roman" w:eastAsia="MS Gothic" w:hAnsi="Times New Roman" w:cs="Times New Roman"/>
          <w:kern w:val="0"/>
          <w:szCs w:val="24"/>
        </w:rPr>
        <w:t>−</w:t>
      </w:r>
      <w:r>
        <w:rPr>
          <w:rFonts w:ascii="Times New Roman" w:eastAsia="PMingLiU" w:hAnsi="Times New Roman" w:cs="Times New Roman"/>
          <w:kern w:val="0"/>
          <w:szCs w:val="24"/>
        </w:rPr>
        <w:t>80 °C.</w:t>
      </w:r>
    </w:p>
    <w:p w14:paraId="13C9A994"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S15.2 cDNA synthesis</w:t>
      </w:r>
    </w:p>
    <w:p w14:paraId="3A7B4C29" w14:textId="77777777"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cDNA was synthesized from 1 µg RNA using </w:t>
      </w:r>
      <w:proofErr w:type="spellStart"/>
      <w:r>
        <w:rPr>
          <w:rFonts w:ascii="Times New Roman" w:eastAsia="PMingLiU" w:hAnsi="Times New Roman" w:cs="Times New Roman"/>
          <w:kern w:val="0"/>
          <w:szCs w:val="24"/>
        </w:rPr>
        <w:t>iScript</w:t>
      </w:r>
      <w:proofErr w:type="spellEnd"/>
      <w:r>
        <w:rPr>
          <w:rFonts w:ascii="Times New Roman" w:eastAsia="PMingLiU" w:hAnsi="Times New Roman" w:cs="Times New Roman"/>
          <w:kern w:val="0"/>
          <w:szCs w:val="24"/>
        </w:rPr>
        <w:t xml:space="preserve">™ cDNA Synthesis Kit (Bio-Rad Laboratories, 1708890, Hercules, CA, USA) in 20 µL reactions under the cycling conditions: 25 °C 5 min; 46 °C 20 min; 95 °C 1 min; hold at 4 °C. cDNA was stored at </w:t>
      </w:r>
      <w:r>
        <w:rPr>
          <w:rFonts w:ascii="Times New Roman" w:eastAsia="MS Gothic" w:hAnsi="Times New Roman" w:cs="Times New Roman"/>
          <w:kern w:val="0"/>
          <w:szCs w:val="24"/>
        </w:rPr>
        <w:t>−</w:t>
      </w:r>
      <w:r>
        <w:rPr>
          <w:rFonts w:ascii="Times New Roman" w:eastAsia="PMingLiU" w:hAnsi="Times New Roman" w:cs="Times New Roman"/>
          <w:kern w:val="0"/>
          <w:szCs w:val="24"/>
        </w:rPr>
        <w:t>20 °C.</w:t>
      </w:r>
    </w:p>
    <w:p w14:paraId="27259FFB" w14:textId="77777777" w:rsidR="000E675A" w:rsidRDefault="00000000">
      <w:pPr>
        <w:widowControl/>
        <w:spacing w:after="60" w:line="320" w:lineRule="exact"/>
        <w:outlineLvl w:val="2"/>
        <w:rPr>
          <w:rFonts w:ascii="Times New Roman" w:eastAsia="PMingLiU" w:hAnsi="Times New Roman" w:cs="Times New Roman"/>
          <w:b/>
          <w:bCs/>
          <w:kern w:val="0"/>
          <w:szCs w:val="24"/>
        </w:rPr>
      </w:pPr>
      <w:r>
        <w:rPr>
          <w:rFonts w:ascii="Times New Roman" w:eastAsia="PMingLiU" w:hAnsi="Times New Roman" w:cs="Times New Roman"/>
          <w:b/>
          <w:bCs/>
          <w:kern w:val="0"/>
          <w:szCs w:val="24"/>
        </w:rPr>
        <w:t>S15.3 qPCR</w:t>
      </w:r>
    </w:p>
    <w:p w14:paraId="697726EA" w14:textId="1F11BBDC" w:rsidR="000E675A" w:rsidRDefault="00000000">
      <w:pPr>
        <w:widowControl/>
        <w:spacing w:after="60" w:line="320" w:lineRule="exact"/>
        <w:rPr>
          <w:rFonts w:ascii="Times New Roman" w:eastAsia="PMingLiU" w:hAnsi="Times New Roman" w:cs="Times New Roman"/>
          <w:kern w:val="0"/>
          <w:szCs w:val="24"/>
        </w:rPr>
      </w:pPr>
      <w:r>
        <w:rPr>
          <w:rFonts w:ascii="Times New Roman" w:eastAsia="PMingLiU" w:hAnsi="Times New Roman" w:cs="Times New Roman"/>
          <w:kern w:val="0"/>
          <w:szCs w:val="24"/>
        </w:rPr>
        <w:t xml:space="preserve">qPCR was performed on </w:t>
      </w:r>
      <w:proofErr w:type="spellStart"/>
      <w:r>
        <w:rPr>
          <w:rFonts w:ascii="Times New Roman" w:eastAsia="PMingLiU" w:hAnsi="Times New Roman" w:cs="Times New Roman"/>
          <w:kern w:val="0"/>
          <w:szCs w:val="24"/>
        </w:rPr>
        <w:t>QuantStudio</w:t>
      </w:r>
      <w:proofErr w:type="spellEnd"/>
      <w:r>
        <w:rPr>
          <w:rFonts w:ascii="Times New Roman" w:eastAsia="PMingLiU" w:hAnsi="Times New Roman" w:cs="Times New Roman"/>
          <w:kern w:val="0"/>
          <w:szCs w:val="24"/>
        </w:rPr>
        <w:t>™ 5 using SYBR Green (</w:t>
      </w:r>
      <w:proofErr w:type="spellStart"/>
      <w:r>
        <w:rPr>
          <w:rFonts w:ascii="Times New Roman" w:eastAsia="PMingLiU" w:hAnsi="Times New Roman" w:cs="Times New Roman"/>
          <w:kern w:val="0"/>
          <w:szCs w:val="24"/>
        </w:rPr>
        <w:t>Thermo</w:t>
      </w:r>
      <w:proofErr w:type="spellEnd"/>
      <w:r>
        <w:rPr>
          <w:rFonts w:ascii="Times New Roman" w:eastAsia="PMingLiU" w:hAnsi="Times New Roman" w:cs="Times New Roman"/>
          <w:kern w:val="0"/>
          <w:szCs w:val="24"/>
        </w:rPr>
        <w:t xml:space="preserve"> Fisher Scientific, 4385618, Waltham, MA, USA) in 384-well plates (10 µL/well: 5 µL 2× SYBR, 1.2 µL primers at 2.5 µM each, 3.8 µL diluted cDNA containing 40 ng). Cycling: 95 °C 3 min; 40 cycles of 95 °C 1 s and 60 °C 20 s; melt curve: 95 °C 15 s, 50 °C 1 min, 95 °C 15 s. Relative expression was calculated using </w:t>
      </w:r>
      <w:proofErr w:type="spellStart"/>
      <w:r>
        <w:rPr>
          <w:rFonts w:ascii="Times New Roman" w:eastAsia="PMingLiU" w:hAnsi="Times New Roman" w:cs="Times New Roman"/>
          <w:kern w:val="0"/>
          <w:szCs w:val="24"/>
        </w:rPr>
        <w:t>ΔΔCt</w:t>
      </w:r>
      <w:proofErr w:type="spellEnd"/>
      <w:r>
        <w:rPr>
          <w:rFonts w:ascii="Times New Roman" w:eastAsia="PMingLiU" w:hAnsi="Times New Roman" w:cs="Times New Roman"/>
          <w:kern w:val="0"/>
          <w:szCs w:val="24"/>
        </w:rPr>
        <w:t xml:space="preserve"> method with actin as the reference; based on assay calibration, the amplification efficiency was 1.94 per cycle (≈94%), and fold change was computed as 1.94</w:t>
      </w:r>
      <w:r w:rsidRPr="00FC3F3D">
        <w:rPr>
          <w:rFonts w:ascii="Times New Roman" w:eastAsia="PMingLiU" w:hAnsi="Times New Roman" w:cs="Times New Roman"/>
          <w:kern w:val="0"/>
          <w:szCs w:val="24"/>
          <w:vertAlign w:val="superscript"/>
        </w:rPr>
        <w:t>−ΔΔCt</w:t>
      </w:r>
      <w:r>
        <w:rPr>
          <w:rFonts w:ascii="Times New Roman" w:eastAsia="PMingLiU" w:hAnsi="Times New Roman" w:cs="Times New Roman"/>
          <w:kern w:val="0"/>
          <w:szCs w:val="24"/>
        </w:rPr>
        <w:t>. Primer sequences are listed in Table S1.</w:t>
      </w:r>
    </w:p>
    <w:p w14:paraId="1B1CCAD5" w14:textId="77777777" w:rsidR="000E675A" w:rsidRDefault="00000000">
      <w:pPr>
        <w:pStyle w:val="Caption"/>
        <w:spacing w:afterLines="0" w:after="60" w:line="320" w:lineRule="exact"/>
        <w:rPr>
          <w:rFonts w:cs="Times New Roman"/>
          <w:b/>
          <w:bCs/>
          <w:sz w:val="24"/>
          <w:szCs w:val="24"/>
        </w:rPr>
      </w:pPr>
      <w:bookmarkStart w:id="12" w:name="_Toc204854782"/>
      <w:bookmarkStart w:id="13" w:name="_Toc202915172"/>
      <w:r>
        <w:rPr>
          <w:rFonts w:cs="Times New Roman"/>
          <w:b/>
          <w:bCs/>
          <w:sz w:val="24"/>
          <w:szCs w:val="24"/>
        </w:rPr>
        <w:t xml:space="preserve">Table S1. </w:t>
      </w:r>
      <w:proofErr w:type="gramStart"/>
      <w:r>
        <w:rPr>
          <w:rFonts w:cs="Times New Roman"/>
          <w:b/>
          <w:bCs/>
          <w:sz w:val="24"/>
          <w:szCs w:val="24"/>
        </w:rPr>
        <w:t>The primer</w:t>
      </w:r>
      <w:proofErr w:type="gramEnd"/>
      <w:r>
        <w:rPr>
          <w:rFonts w:cs="Times New Roman"/>
          <w:b/>
          <w:bCs/>
          <w:sz w:val="24"/>
          <w:szCs w:val="24"/>
        </w:rPr>
        <w:t xml:space="preserve"> information for qPCR analysis</w:t>
      </w:r>
      <w:bookmarkEnd w:id="12"/>
      <w:bookmarkEnd w:id="13"/>
    </w:p>
    <w:tbl>
      <w:tblPr>
        <w:tblStyle w:val="GridTable1Light1"/>
        <w:tblW w:w="5000" w:type="pct"/>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2267"/>
        <w:gridCol w:w="2927"/>
        <w:gridCol w:w="5272"/>
      </w:tblGrid>
      <w:tr w:rsidR="000E675A" w14:paraId="67906F6A" w14:textId="77777777" w:rsidTr="000E675A">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bottom w:val="single" w:sz="4" w:space="0" w:color="auto"/>
            </w:tcBorders>
            <w:vAlign w:val="center"/>
          </w:tcPr>
          <w:p w14:paraId="3A9E0F77"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szCs w:val="24"/>
              </w:rPr>
              <w:t>Primer name</w:t>
            </w:r>
          </w:p>
        </w:tc>
        <w:tc>
          <w:tcPr>
            <w:tcW w:w="0" w:type="pct"/>
            <w:tcBorders>
              <w:top w:val="single" w:sz="4" w:space="0" w:color="auto"/>
              <w:bottom w:val="single" w:sz="4" w:space="0" w:color="auto"/>
            </w:tcBorders>
            <w:vAlign w:val="center"/>
          </w:tcPr>
          <w:p w14:paraId="5CC42A03" w14:textId="77777777" w:rsidR="000E675A" w:rsidRDefault="00000000">
            <w:pPr>
              <w:widowControl/>
              <w:spacing w:after="60" w:line="320" w:lineRule="exact"/>
              <w:cnfStyle w:val="100000000000" w:firstRow="1" w:lastRow="0" w:firstColumn="0" w:lastColumn="0" w:oddVBand="0" w:evenVBand="0" w:oddHBand="0" w:evenHBand="0" w:firstRowFirstColumn="0" w:firstRowLastColumn="0" w:lastRowFirstColumn="0" w:lastRowLastColumn="0"/>
              <w:rPr>
                <w:rFonts w:ascii="Times New Roman" w:eastAsia="DFKai-SB" w:hAnsi="Times New Roman" w:cs="Times New Roman"/>
                <w:b w:val="0"/>
                <w:bCs w:val="0"/>
                <w:szCs w:val="24"/>
              </w:rPr>
            </w:pPr>
            <w:r>
              <w:rPr>
                <w:rFonts w:ascii="Times New Roman" w:eastAsia="DFKai-SB" w:hAnsi="Times New Roman" w:cs="Times New Roman"/>
                <w:szCs w:val="24"/>
              </w:rPr>
              <w:t>Accession</w:t>
            </w:r>
          </w:p>
        </w:tc>
        <w:tc>
          <w:tcPr>
            <w:tcW w:w="0" w:type="pct"/>
            <w:tcBorders>
              <w:top w:val="single" w:sz="4" w:space="0" w:color="auto"/>
              <w:bottom w:val="single" w:sz="4" w:space="0" w:color="auto"/>
            </w:tcBorders>
            <w:vAlign w:val="center"/>
          </w:tcPr>
          <w:p w14:paraId="6C8C9080" w14:textId="77777777" w:rsidR="000E675A" w:rsidRDefault="00000000">
            <w:pPr>
              <w:widowControl/>
              <w:spacing w:after="60" w:line="320" w:lineRule="exact"/>
              <w:cnfStyle w:val="100000000000" w:firstRow="1" w:lastRow="0" w:firstColumn="0" w:lastColumn="0" w:oddVBand="0" w:evenVBand="0" w:oddHBand="0" w:evenHBand="0" w:firstRowFirstColumn="0" w:firstRowLastColumn="0" w:lastRowFirstColumn="0" w:lastRowLastColumn="0"/>
              <w:rPr>
                <w:rFonts w:ascii="Times New Roman" w:eastAsia="DFKai-SB" w:hAnsi="Times New Roman" w:cs="Times New Roman"/>
                <w:b w:val="0"/>
                <w:bCs w:val="0"/>
                <w:szCs w:val="24"/>
              </w:rPr>
            </w:pPr>
            <w:r>
              <w:rPr>
                <w:rFonts w:ascii="Times New Roman" w:eastAsia="DFKai-SB" w:hAnsi="Times New Roman" w:cs="Times New Roman"/>
                <w:szCs w:val="24"/>
              </w:rPr>
              <w:t>Sequencing</w:t>
            </w:r>
          </w:p>
        </w:tc>
      </w:tr>
      <w:tr w:rsidR="000E675A" w14:paraId="1BE6DC95"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tcBorders>
            <w:vAlign w:val="center"/>
          </w:tcPr>
          <w:p w14:paraId="2B0F2B85" w14:textId="77777777" w:rsidR="000E675A" w:rsidRDefault="00000000">
            <w:pPr>
              <w:widowControl/>
              <w:spacing w:after="60" w:line="320" w:lineRule="exact"/>
              <w:rPr>
                <w:rFonts w:ascii="Times New Roman" w:eastAsia="DFKai-SB" w:hAnsi="Times New Roman" w:cs="Times New Roman"/>
                <w:b w:val="0"/>
                <w:bCs w:val="0"/>
                <w:szCs w:val="24"/>
              </w:rPr>
            </w:pPr>
            <w:proofErr w:type="gramStart"/>
            <w:r>
              <w:rPr>
                <w:rFonts w:ascii="Times New Roman" w:eastAsia="DFKai-SB" w:hAnsi="Times New Roman" w:cs="Times New Roman"/>
                <w:i/>
                <w:iCs/>
                <w:szCs w:val="24"/>
              </w:rPr>
              <w:t>actin</w:t>
            </w:r>
            <w:proofErr w:type="gramEnd"/>
            <w:r>
              <w:rPr>
                <w:rFonts w:ascii="Times New Roman" w:eastAsia="DFKai-SB" w:hAnsi="Times New Roman" w:cs="Times New Roman"/>
                <w:szCs w:val="24"/>
              </w:rPr>
              <w:t>-F</w:t>
            </w:r>
          </w:p>
        </w:tc>
        <w:tc>
          <w:tcPr>
            <w:tcW w:w="0" w:type="pct"/>
            <w:vMerge w:val="restart"/>
            <w:tcBorders>
              <w:top w:val="single" w:sz="4" w:space="0" w:color="auto"/>
            </w:tcBorders>
            <w:vAlign w:val="center"/>
          </w:tcPr>
          <w:p w14:paraId="00056A62"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NM_131031.1</w:t>
            </w:r>
          </w:p>
        </w:tc>
        <w:tc>
          <w:tcPr>
            <w:tcW w:w="0" w:type="pct"/>
            <w:tcBorders>
              <w:top w:val="single" w:sz="4" w:space="0" w:color="auto"/>
            </w:tcBorders>
            <w:vAlign w:val="center"/>
          </w:tcPr>
          <w:p w14:paraId="6ACED5A4"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5’-CTCCATCATGAAGTGCGACGT-3’</w:t>
            </w:r>
          </w:p>
        </w:tc>
      </w:tr>
      <w:tr w:rsidR="000E675A" w14:paraId="19E13E83"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02A9060B" w14:textId="77777777" w:rsidR="000E675A" w:rsidRDefault="00000000">
            <w:pPr>
              <w:widowControl/>
              <w:spacing w:after="60" w:line="320" w:lineRule="exact"/>
              <w:rPr>
                <w:rFonts w:ascii="Times New Roman" w:eastAsia="DFKai-SB" w:hAnsi="Times New Roman" w:cs="Times New Roman"/>
                <w:b w:val="0"/>
                <w:bCs w:val="0"/>
                <w:szCs w:val="24"/>
              </w:rPr>
            </w:pPr>
            <w:proofErr w:type="gramStart"/>
            <w:r>
              <w:rPr>
                <w:rFonts w:ascii="Times New Roman" w:eastAsia="DFKai-SB" w:hAnsi="Times New Roman" w:cs="Times New Roman"/>
                <w:i/>
                <w:iCs/>
                <w:szCs w:val="24"/>
              </w:rPr>
              <w:t>actin</w:t>
            </w:r>
            <w:proofErr w:type="gramEnd"/>
            <w:r>
              <w:rPr>
                <w:rFonts w:ascii="Times New Roman" w:eastAsia="DFKai-SB" w:hAnsi="Times New Roman" w:cs="Times New Roman"/>
                <w:szCs w:val="24"/>
              </w:rPr>
              <w:t>-R</w:t>
            </w:r>
          </w:p>
        </w:tc>
        <w:tc>
          <w:tcPr>
            <w:tcW w:w="0" w:type="pct"/>
            <w:vMerge/>
            <w:vAlign w:val="center"/>
          </w:tcPr>
          <w:p w14:paraId="2959732B" w14:textId="77777777" w:rsidR="000E675A" w:rsidRDefault="000E675A">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p>
        </w:tc>
        <w:tc>
          <w:tcPr>
            <w:tcW w:w="0" w:type="pct"/>
            <w:vAlign w:val="center"/>
          </w:tcPr>
          <w:p w14:paraId="67A401AD"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5’-CAGACGGAGTATTTGCGCTCA-3’</w:t>
            </w:r>
          </w:p>
        </w:tc>
      </w:tr>
      <w:tr w:rsidR="000E675A" w14:paraId="696E4F5B"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7127FA4F"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t>ccne1</w:t>
            </w:r>
            <w:r>
              <w:rPr>
                <w:rFonts w:ascii="Times New Roman" w:eastAsia="DFKai-SB" w:hAnsi="Times New Roman" w:cs="Times New Roman"/>
                <w:szCs w:val="24"/>
              </w:rPr>
              <w:t>-F</w:t>
            </w:r>
          </w:p>
        </w:tc>
        <w:tc>
          <w:tcPr>
            <w:tcW w:w="0" w:type="pct"/>
            <w:vMerge w:val="restart"/>
            <w:vAlign w:val="center"/>
          </w:tcPr>
          <w:p w14:paraId="25BA96EC"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NC_007118.7</w:t>
            </w:r>
          </w:p>
        </w:tc>
        <w:tc>
          <w:tcPr>
            <w:tcW w:w="0" w:type="pct"/>
            <w:vAlign w:val="center"/>
          </w:tcPr>
          <w:p w14:paraId="023C96B5"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5’-CATGCCAAGCAAGAAAGTGCTA-3’</w:t>
            </w:r>
          </w:p>
        </w:tc>
      </w:tr>
      <w:tr w:rsidR="000E675A" w14:paraId="7BAF5112"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47E73957"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lastRenderedPageBreak/>
              <w:t>ccne1</w:t>
            </w:r>
            <w:r>
              <w:rPr>
                <w:rFonts w:ascii="Times New Roman" w:eastAsia="DFKai-SB" w:hAnsi="Times New Roman" w:cs="Times New Roman"/>
                <w:szCs w:val="24"/>
              </w:rPr>
              <w:t>-R</w:t>
            </w:r>
          </w:p>
        </w:tc>
        <w:tc>
          <w:tcPr>
            <w:tcW w:w="0" w:type="pct"/>
            <w:vMerge/>
            <w:vAlign w:val="center"/>
          </w:tcPr>
          <w:p w14:paraId="0C8FA2F0" w14:textId="77777777" w:rsidR="000E675A" w:rsidRDefault="000E675A">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p>
        </w:tc>
        <w:tc>
          <w:tcPr>
            <w:tcW w:w="0" w:type="pct"/>
            <w:vAlign w:val="center"/>
          </w:tcPr>
          <w:p w14:paraId="7D6A8CFA"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5’-GTGCTGGGAACACCTTCAGT-3’</w:t>
            </w:r>
          </w:p>
        </w:tc>
      </w:tr>
      <w:tr w:rsidR="000E675A" w14:paraId="5DDB5B18"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0FC6224B"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t>cdk1</w:t>
            </w:r>
            <w:r>
              <w:rPr>
                <w:rFonts w:ascii="Times New Roman" w:eastAsia="DFKai-SB" w:hAnsi="Times New Roman" w:cs="Times New Roman"/>
                <w:szCs w:val="24"/>
              </w:rPr>
              <w:t>-F</w:t>
            </w:r>
          </w:p>
        </w:tc>
        <w:tc>
          <w:tcPr>
            <w:tcW w:w="0" w:type="pct"/>
            <w:vMerge w:val="restart"/>
            <w:vAlign w:val="center"/>
          </w:tcPr>
          <w:p w14:paraId="3F1E4960"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NM_212564.2</w:t>
            </w:r>
          </w:p>
        </w:tc>
        <w:tc>
          <w:tcPr>
            <w:tcW w:w="0" w:type="pct"/>
            <w:vAlign w:val="center"/>
          </w:tcPr>
          <w:p w14:paraId="07F1AF36"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5’-CTCTGGGGACCCCTAACAAT-3’</w:t>
            </w:r>
          </w:p>
        </w:tc>
      </w:tr>
      <w:tr w:rsidR="000E675A" w14:paraId="09262189"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43429590"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t>cdk1</w:t>
            </w:r>
            <w:r>
              <w:rPr>
                <w:rFonts w:ascii="Times New Roman" w:eastAsia="DFKai-SB" w:hAnsi="Times New Roman" w:cs="Times New Roman"/>
                <w:szCs w:val="24"/>
              </w:rPr>
              <w:t>-R</w:t>
            </w:r>
          </w:p>
        </w:tc>
        <w:tc>
          <w:tcPr>
            <w:tcW w:w="0" w:type="pct"/>
            <w:vMerge/>
            <w:vAlign w:val="center"/>
          </w:tcPr>
          <w:p w14:paraId="6C709A17" w14:textId="77777777" w:rsidR="000E675A" w:rsidRDefault="000E675A">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p>
        </w:tc>
        <w:tc>
          <w:tcPr>
            <w:tcW w:w="0" w:type="pct"/>
            <w:vAlign w:val="center"/>
          </w:tcPr>
          <w:p w14:paraId="36D449F6"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5’-CGGATGTGTCATTGCTTGTC-3’</w:t>
            </w:r>
          </w:p>
        </w:tc>
      </w:tr>
      <w:tr w:rsidR="000E675A" w14:paraId="5C39499A"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16E13CF8"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t>cxcr4b</w:t>
            </w:r>
            <w:r>
              <w:rPr>
                <w:rFonts w:ascii="Times New Roman" w:eastAsia="DFKai-SB" w:hAnsi="Times New Roman" w:cs="Times New Roman"/>
                <w:szCs w:val="24"/>
              </w:rPr>
              <w:t>-F</w:t>
            </w:r>
          </w:p>
        </w:tc>
        <w:tc>
          <w:tcPr>
            <w:tcW w:w="0" w:type="pct"/>
            <w:vMerge w:val="restart"/>
            <w:vAlign w:val="center"/>
          </w:tcPr>
          <w:p w14:paraId="59ECB269"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NM_131834.1</w:t>
            </w:r>
          </w:p>
        </w:tc>
        <w:tc>
          <w:tcPr>
            <w:tcW w:w="0" w:type="pct"/>
            <w:vAlign w:val="center"/>
          </w:tcPr>
          <w:p w14:paraId="68854873"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5’-CAATGGACTTGTGGTGCTTG-3’</w:t>
            </w:r>
          </w:p>
        </w:tc>
      </w:tr>
      <w:tr w:rsidR="000E675A" w14:paraId="6A20C9BA"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1CC99361"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t>cxcr4b</w:t>
            </w:r>
            <w:r>
              <w:rPr>
                <w:rFonts w:ascii="Times New Roman" w:eastAsia="DFKai-SB" w:hAnsi="Times New Roman" w:cs="Times New Roman"/>
                <w:szCs w:val="24"/>
              </w:rPr>
              <w:t>-R</w:t>
            </w:r>
          </w:p>
        </w:tc>
        <w:tc>
          <w:tcPr>
            <w:tcW w:w="0" w:type="pct"/>
            <w:vMerge/>
            <w:vAlign w:val="center"/>
          </w:tcPr>
          <w:p w14:paraId="7C27C26E" w14:textId="77777777" w:rsidR="000E675A" w:rsidRDefault="000E675A">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p>
        </w:tc>
        <w:tc>
          <w:tcPr>
            <w:tcW w:w="0" w:type="pct"/>
            <w:vAlign w:val="center"/>
          </w:tcPr>
          <w:p w14:paraId="1C5B0022"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5’-CACAGAAATCCCCCAAAATG-3’</w:t>
            </w:r>
          </w:p>
        </w:tc>
      </w:tr>
      <w:tr w:rsidR="000E675A" w14:paraId="02057473"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06E7D950"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t>il1b</w:t>
            </w:r>
            <w:r>
              <w:rPr>
                <w:rFonts w:ascii="Times New Roman" w:eastAsia="DFKai-SB" w:hAnsi="Times New Roman" w:cs="Times New Roman"/>
                <w:szCs w:val="24"/>
              </w:rPr>
              <w:t>-F</w:t>
            </w:r>
          </w:p>
        </w:tc>
        <w:tc>
          <w:tcPr>
            <w:tcW w:w="0" w:type="pct"/>
            <w:vMerge w:val="restart"/>
            <w:vAlign w:val="center"/>
          </w:tcPr>
          <w:p w14:paraId="07888564"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NM_212844.2</w:t>
            </w:r>
          </w:p>
        </w:tc>
        <w:tc>
          <w:tcPr>
            <w:tcW w:w="0" w:type="pct"/>
            <w:vAlign w:val="center"/>
          </w:tcPr>
          <w:p w14:paraId="1B721111"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5’-TGGACTTCGCAGCACAAAATG-3’</w:t>
            </w:r>
          </w:p>
        </w:tc>
      </w:tr>
      <w:tr w:rsidR="000E675A" w14:paraId="3AA32AB6"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265106E4"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t>il1b</w:t>
            </w:r>
            <w:r>
              <w:rPr>
                <w:rFonts w:ascii="Times New Roman" w:eastAsia="DFKai-SB" w:hAnsi="Times New Roman" w:cs="Times New Roman"/>
                <w:szCs w:val="24"/>
              </w:rPr>
              <w:t>-R</w:t>
            </w:r>
          </w:p>
        </w:tc>
        <w:tc>
          <w:tcPr>
            <w:tcW w:w="0" w:type="pct"/>
            <w:vMerge/>
            <w:vAlign w:val="center"/>
          </w:tcPr>
          <w:p w14:paraId="0D822BA1" w14:textId="77777777" w:rsidR="000E675A" w:rsidRDefault="000E675A">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p>
        </w:tc>
        <w:tc>
          <w:tcPr>
            <w:tcW w:w="0" w:type="pct"/>
            <w:vAlign w:val="center"/>
          </w:tcPr>
          <w:p w14:paraId="55D07EF4"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5’-GTTCACTTCACGCTCTTGGATG-3’</w:t>
            </w:r>
          </w:p>
        </w:tc>
      </w:tr>
      <w:tr w:rsidR="000E675A" w14:paraId="7E8F98B3"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20AA5A51"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t>tgfb1a</w:t>
            </w:r>
            <w:r>
              <w:rPr>
                <w:rFonts w:ascii="Times New Roman" w:eastAsia="DFKai-SB" w:hAnsi="Times New Roman" w:cs="Times New Roman"/>
                <w:szCs w:val="24"/>
              </w:rPr>
              <w:t>-F</w:t>
            </w:r>
          </w:p>
        </w:tc>
        <w:tc>
          <w:tcPr>
            <w:tcW w:w="0" w:type="pct"/>
            <w:vMerge w:val="restart"/>
            <w:vAlign w:val="center"/>
          </w:tcPr>
          <w:p w14:paraId="425792DE"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 xml:space="preserve">NM_182873.1 </w:t>
            </w:r>
          </w:p>
        </w:tc>
        <w:tc>
          <w:tcPr>
            <w:tcW w:w="0" w:type="pct"/>
            <w:vAlign w:val="center"/>
          </w:tcPr>
          <w:p w14:paraId="34AA2664"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5’-CAACCGCTGGCTCTCATTTGA-3’</w:t>
            </w:r>
          </w:p>
        </w:tc>
      </w:tr>
      <w:tr w:rsidR="000E675A" w14:paraId="59AC553D"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65E20B14" w14:textId="77777777" w:rsidR="000E675A" w:rsidRDefault="00000000">
            <w:pPr>
              <w:widowControl/>
              <w:spacing w:after="60" w:line="320" w:lineRule="exact"/>
              <w:rPr>
                <w:rFonts w:ascii="Times New Roman" w:eastAsia="DFKai-SB" w:hAnsi="Times New Roman" w:cs="Times New Roman"/>
                <w:b w:val="0"/>
                <w:bCs w:val="0"/>
                <w:szCs w:val="24"/>
              </w:rPr>
            </w:pPr>
            <w:r>
              <w:rPr>
                <w:rFonts w:ascii="Times New Roman" w:eastAsia="DFKai-SB" w:hAnsi="Times New Roman" w:cs="Times New Roman"/>
                <w:i/>
                <w:iCs/>
                <w:szCs w:val="24"/>
              </w:rPr>
              <w:t>tgfb1a</w:t>
            </w:r>
            <w:r>
              <w:rPr>
                <w:rFonts w:ascii="Times New Roman" w:eastAsia="DFKai-SB" w:hAnsi="Times New Roman" w:cs="Times New Roman"/>
                <w:szCs w:val="24"/>
              </w:rPr>
              <w:t>-R</w:t>
            </w:r>
          </w:p>
        </w:tc>
        <w:tc>
          <w:tcPr>
            <w:tcW w:w="0" w:type="pct"/>
            <w:vMerge/>
            <w:vAlign w:val="center"/>
          </w:tcPr>
          <w:p w14:paraId="2BCFE871" w14:textId="77777777" w:rsidR="000E675A" w:rsidRDefault="000E675A">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p>
        </w:tc>
        <w:tc>
          <w:tcPr>
            <w:tcW w:w="0" w:type="pct"/>
            <w:vAlign w:val="center"/>
          </w:tcPr>
          <w:p w14:paraId="6214F949"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5’-ACAGTCGCAGTATAACCTCAGCT-3’</w:t>
            </w:r>
          </w:p>
        </w:tc>
      </w:tr>
      <w:tr w:rsidR="000E675A" w14:paraId="6C67B48D"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434ED855" w14:textId="77777777" w:rsidR="000E675A" w:rsidRDefault="00000000">
            <w:pPr>
              <w:widowControl/>
              <w:spacing w:after="60" w:line="320" w:lineRule="exact"/>
              <w:rPr>
                <w:rFonts w:ascii="Times New Roman" w:eastAsia="DFKai-SB" w:hAnsi="Times New Roman" w:cs="Times New Roman"/>
                <w:b w:val="0"/>
                <w:bCs w:val="0"/>
                <w:szCs w:val="24"/>
              </w:rPr>
            </w:pPr>
            <w:proofErr w:type="spellStart"/>
            <w:r>
              <w:rPr>
                <w:rFonts w:ascii="Times New Roman" w:eastAsia="DFKai-SB" w:hAnsi="Times New Roman" w:cs="Times New Roman"/>
                <w:i/>
                <w:iCs/>
                <w:szCs w:val="24"/>
              </w:rPr>
              <w:t>tnfa</w:t>
            </w:r>
            <w:proofErr w:type="spellEnd"/>
            <w:r>
              <w:rPr>
                <w:rFonts w:ascii="Times New Roman" w:eastAsia="DFKai-SB" w:hAnsi="Times New Roman" w:cs="Times New Roman"/>
                <w:szCs w:val="24"/>
              </w:rPr>
              <w:t>-F</w:t>
            </w:r>
          </w:p>
        </w:tc>
        <w:tc>
          <w:tcPr>
            <w:tcW w:w="0" w:type="pct"/>
            <w:vMerge w:val="restart"/>
            <w:vAlign w:val="center"/>
          </w:tcPr>
          <w:p w14:paraId="42CE002F"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 xml:space="preserve">NM_212859.2 </w:t>
            </w:r>
          </w:p>
        </w:tc>
        <w:tc>
          <w:tcPr>
            <w:tcW w:w="0" w:type="pct"/>
            <w:vAlign w:val="center"/>
          </w:tcPr>
          <w:p w14:paraId="73E9D39A"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5’-TACGGAGGCAAAAAGCCACT-3’</w:t>
            </w:r>
          </w:p>
        </w:tc>
      </w:tr>
      <w:tr w:rsidR="000E675A" w14:paraId="0F59147F" w14:textId="77777777" w:rsidTr="000E675A">
        <w:trPr>
          <w:trHeight w:val="312"/>
          <w:jc w:val="center"/>
        </w:trPr>
        <w:tc>
          <w:tcPr>
            <w:cnfStyle w:val="001000000000" w:firstRow="0" w:lastRow="0" w:firstColumn="1" w:lastColumn="0" w:oddVBand="0" w:evenVBand="0" w:oddHBand="0" w:evenHBand="0" w:firstRowFirstColumn="0" w:firstRowLastColumn="0" w:lastRowFirstColumn="0" w:lastRowLastColumn="0"/>
            <w:tcW w:w="0" w:type="pct"/>
            <w:vAlign w:val="center"/>
          </w:tcPr>
          <w:p w14:paraId="61867DEE" w14:textId="77777777" w:rsidR="000E675A" w:rsidRDefault="00000000">
            <w:pPr>
              <w:widowControl/>
              <w:spacing w:after="60" w:line="320" w:lineRule="exact"/>
              <w:rPr>
                <w:rFonts w:ascii="Times New Roman" w:eastAsia="DFKai-SB" w:hAnsi="Times New Roman" w:cs="Times New Roman"/>
                <w:b w:val="0"/>
                <w:bCs w:val="0"/>
                <w:szCs w:val="24"/>
              </w:rPr>
            </w:pPr>
            <w:proofErr w:type="spellStart"/>
            <w:r>
              <w:rPr>
                <w:rFonts w:ascii="Times New Roman" w:eastAsia="DFKai-SB" w:hAnsi="Times New Roman" w:cs="Times New Roman"/>
                <w:i/>
                <w:iCs/>
                <w:szCs w:val="24"/>
              </w:rPr>
              <w:t>tnfa</w:t>
            </w:r>
            <w:proofErr w:type="spellEnd"/>
            <w:r>
              <w:rPr>
                <w:rFonts w:ascii="Times New Roman" w:eastAsia="DFKai-SB" w:hAnsi="Times New Roman" w:cs="Times New Roman"/>
                <w:szCs w:val="24"/>
              </w:rPr>
              <w:t>-R</w:t>
            </w:r>
          </w:p>
        </w:tc>
        <w:tc>
          <w:tcPr>
            <w:tcW w:w="0" w:type="pct"/>
            <w:vMerge/>
            <w:vAlign w:val="center"/>
          </w:tcPr>
          <w:p w14:paraId="7F9A0546" w14:textId="77777777" w:rsidR="000E675A" w:rsidRDefault="000E675A">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p>
        </w:tc>
        <w:tc>
          <w:tcPr>
            <w:tcW w:w="0" w:type="pct"/>
            <w:vAlign w:val="center"/>
          </w:tcPr>
          <w:p w14:paraId="52C94B42" w14:textId="77777777" w:rsidR="000E675A" w:rsidRDefault="00000000">
            <w:pPr>
              <w:widowControl/>
              <w:spacing w:after="60" w:line="320" w:lineRule="exact"/>
              <w:cnfStyle w:val="000000000000" w:firstRow="0" w:lastRow="0" w:firstColumn="0" w:lastColumn="0" w:oddVBand="0" w:evenVBand="0" w:oddHBand="0" w:evenHBand="0" w:firstRowFirstColumn="0" w:firstRowLastColumn="0" w:lastRowFirstColumn="0" w:lastRowLastColumn="0"/>
              <w:rPr>
                <w:rFonts w:ascii="Times New Roman" w:eastAsia="DFKai-SB" w:hAnsi="Times New Roman" w:cs="Times New Roman"/>
                <w:szCs w:val="24"/>
              </w:rPr>
            </w:pPr>
            <w:r>
              <w:rPr>
                <w:rFonts w:ascii="Times New Roman" w:eastAsia="DFKai-SB" w:hAnsi="Times New Roman" w:cs="Times New Roman"/>
                <w:szCs w:val="24"/>
              </w:rPr>
              <w:t>5’-AGAAGTGCTGTGGTCGTGTC-3’</w:t>
            </w:r>
          </w:p>
        </w:tc>
      </w:tr>
    </w:tbl>
    <w:p w14:paraId="677406BB" w14:textId="77777777" w:rsidR="000E675A" w:rsidRDefault="000E675A">
      <w:pPr>
        <w:widowControl/>
        <w:spacing w:after="60" w:line="320" w:lineRule="exact"/>
        <w:rPr>
          <w:rFonts w:ascii="Times New Roman" w:eastAsia="PMingLiU" w:hAnsi="Times New Roman" w:cs="Times New Roman"/>
          <w:kern w:val="0"/>
          <w:szCs w:val="24"/>
        </w:rPr>
      </w:pPr>
    </w:p>
    <w:p w14:paraId="31454DDF" w14:textId="77777777" w:rsidR="007C722A" w:rsidRDefault="000F107F" w:rsidP="007C722A">
      <w:pPr>
        <w:pStyle w:val="TSP52figure"/>
      </w:pPr>
      <w:bookmarkStart w:id="14" w:name="_Toc202915155"/>
      <w:r>
        <w:rPr>
          <w:noProof/>
        </w:rPr>
        <w:drawing>
          <wp:inline distT="0" distB="0" distL="0" distR="0" wp14:anchorId="134A21A6" wp14:editId="013E82AC">
            <wp:extent cx="5371465" cy="5125085"/>
            <wp:effectExtent l="0" t="0" r="63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371465" cy="5125085"/>
                    </a:xfrm>
                    <a:prstGeom prst="rect">
                      <a:avLst/>
                    </a:prstGeom>
                  </pic:spPr>
                </pic:pic>
              </a:graphicData>
            </a:graphic>
          </wp:inline>
        </w:drawing>
      </w:r>
    </w:p>
    <w:p w14:paraId="7C080215" w14:textId="37B3C02A" w:rsidR="000F107F" w:rsidRDefault="000F107F" w:rsidP="007C722A">
      <w:pPr>
        <w:spacing w:afterLines="20" w:after="72" w:line="320" w:lineRule="exact"/>
        <w:rPr>
          <w:rFonts w:cs="Times New Roman"/>
          <w:szCs w:val="24"/>
        </w:rPr>
      </w:pPr>
      <w:r>
        <w:rPr>
          <w:rFonts w:cs="Times New Roman"/>
          <w:b/>
          <w:szCs w:val="24"/>
        </w:rPr>
        <w:t>Figure S1. Source-dependent antiproliferative activity of propolis extracts across liver cell models.</w:t>
      </w:r>
      <w:r>
        <w:rPr>
          <w:rFonts w:eastAsia="宋体" w:cs="Times New Roman" w:hint="eastAsia"/>
          <w:b/>
          <w:szCs w:val="24"/>
          <w:lang w:eastAsia="zh-CN"/>
        </w:rPr>
        <w:t xml:space="preserve"> </w:t>
      </w:r>
      <w:r>
        <w:rPr>
          <w:rFonts w:cs="Times New Roman"/>
          <w:szCs w:val="24"/>
        </w:rPr>
        <w:t>PLC/PRF/5, HepG2, and THLE-2 cells were treated for 72 h with propolis extracts from four sources, and dose–response curves were fitted to estimate IC₅₀ values. Panels show extracts from (</w:t>
      </w:r>
      <w:r>
        <w:rPr>
          <w:rFonts w:cs="Times New Roman"/>
          <w:b/>
          <w:szCs w:val="24"/>
        </w:rPr>
        <w:t>A</w:t>
      </w:r>
      <w:r>
        <w:rPr>
          <w:rFonts w:cs="Times New Roman"/>
          <w:szCs w:val="24"/>
        </w:rPr>
        <w:t>) Taiwan, (</w:t>
      </w:r>
      <w:r>
        <w:rPr>
          <w:rFonts w:cs="Times New Roman"/>
          <w:b/>
          <w:szCs w:val="24"/>
        </w:rPr>
        <w:t>B</w:t>
      </w:r>
      <w:r>
        <w:rPr>
          <w:rFonts w:cs="Times New Roman"/>
          <w:szCs w:val="24"/>
        </w:rPr>
        <w:t>) Brazil, (</w:t>
      </w:r>
      <w:r>
        <w:rPr>
          <w:rFonts w:cs="Times New Roman"/>
          <w:b/>
          <w:szCs w:val="24"/>
        </w:rPr>
        <w:t>C</w:t>
      </w:r>
      <w:r>
        <w:rPr>
          <w:rFonts w:cs="Times New Roman"/>
          <w:szCs w:val="24"/>
        </w:rPr>
        <w:t xml:space="preserve">) </w:t>
      </w:r>
      <w:proofErr w:type="spellStart"/>
      <w:r>
        <w:rPr>
          <w:rFonts w:cs="Times New Roman"/>
          <w:szCs w:val="24"/>
        </w:rPr>
        <w:t>Polenectar</w:t>
      </w:r>
      <w:proofErr w:type="spellEnd"/>
      <w:r>
        <w:rPr>
          <w:rFonts w:cs="Times New Roman"/>
          <w:szCs w:val="24"/>
        </w:rPr>
        <w:t xml:space="preserve"> (Brazil; commercial product), and (</w:t>
      </w:r>
      <w:r>
        <w:rPr>
          <w:rFonts w:cs="Times New Roman"/>
          <w:b/>
          <w:szCs w:val="24"/>
        </w:rPr>
        <w:t>D</w:t>
      </w:r>
      <w:r>
        <w:rPr>
          <w:rFonts w:cs="Times New Roman"/>
          <w:szCs w:val="24"/>
        </w:rPr>
        <w:t>) New Zealand (Chang Gung Biotech; commercial product). The x-axis indicates log10(dilution factor) relative to each extract stock, and the y-axis shows growth inhibition (%). Points represent mean ± SD from three independent experiments.</w:t>
      </w:r>
    </w:p>
    <w:p w14:paraId="3C3CD97B" w14:textId="77777777" w:rsidR="007C722A" w:rsidRDefault="000F107F" w:rsidP="007C722A">
      <w:pPr>
        <w:pStyle w:val="TSP52figure"/>
        <w:rPr>
          <w:rStyle w:val="Strong"/>
        </w:rPr>
      </w:pPr>
      <w:r>
        <w:rPr>
          <w:noProof/>
        </w:rPr>
        <w:lastRenderedPageBreak/>
        <w:drawing>
          <wp:inline distT="0" distB="0" distL="0" distR="0" wp14:anchorId="0987A217" wp14:editId="3461E9CF">
            <wp:extent cx="5371465" cy="3858895"/>
            <wp:effectExtent l="0" t="0" r="635" b="825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71465" cy="3858895"/>
                    </a:xfrm>
                    <a:prstGeom prst="rect">
                      <a:avLst/>
                    </a:prstGeom>
                  </pic:spPr>
                </pic:pic>
              </a:graphicData>
            </a:graphic>
          </wp:inline>
        </w:drawing>
      </w:r>
    </w:p>
    <w:p w14:paraId="5A44E00E" w14:textId="2B53785A" w:rsidR="000F107F" w:rsidRDefault="000F107F" w:rsidP="000F107F">
      <w:pPr>
        <w:spacing w:afterLines="20" w:after="72" w:line="320" w:lineRule="exact"/>
      </w:pPr>
      <w:r>
        <w:rPr>
          <w:rStyle w:val="Strong"/>
        </w:rPr>
        <w:t>Figure S2. Single-agent dose–response curves used to define concentration ranges for combination testing.</w:t>
      </w:r>
      <w:r>
        <w:rPr>
          <w:rStyle w:val="Strong"/>
          <w:rFonts w:eastAsia="宋体" w:hint="eastAsia"/>
          <w:lang w:eastAsia="zh-CN"/>
        </w:rPr>
        <w:t xml:space="preserve"> </w:t>
      </w:r>
      <w:r>
        <w:t>PLC/PRF/5 and HepG2 cells were treated for 72 h with increasing concentrations of metformin or regorafenib, and dose–response curves were fitted to estimate IC₅₀ values. Panels show: (</w:t>
      </w:r>
      <w:r>
        <w:rPr>
          <w:b/>
        </w:rPr>
        <w:t>A</w:t>
      </w:r>
      <w:r>
        <w:t>) PLC/PRF/5 metformin, (</w:t>
      </w:r>
      <w:r>
        <w:rPr>
          <w:b/>
        </w:rPr>
        <w:t>B</w:t>
      </w:r>
      <w:r>
        <w:t>) HepG2 metformin, (</w:t>
      </w:r>
      <w:r>
        <w:rPr>
          <w:b/>
        </w:rPr>
        <w:t>C</w:t>
      </w:r>
      <w:r>
        <w:t>) PLC/PRF/5 regorafenib, and (</w:t>
      </w:r>
      <w:r>
        <w:rPr>
          <w:b/>
        </w:rPr>
        <w:t>D</w:t>
      </w:r>
      <w:r>
        <w:t>) HepG2 regorafenib. The x-axis shows log10[concentration] (mM for metformin; µM for regorafenib), and the y-axis shows growth inhibition (%). Points represent mean ± SD from three independent experiments.</w:t>
      </w:r>
    </w:p>
    <w:p w14:paraId="6E8F8D48" w14:textId="77777777" w:rsidR="007C722A" w:rsidRDefault="000F107F" w:rsidP="007C722A">
      <w:pPr>
        <w:pStyle w:val="TSP52figure"/>
        <w:rPr>
          <w:rStyle w:val="Strong"/>
        </w:rPr>
      </w:pPr>
      <w:r>
        <w:rPr>
          <w:noProof/>
        </w:rPr>
        <w:lastRenderedPageBreak/>
        <w:drawing>
          <wp:inline distT="0" distB="0" distL="0" distR="0" wp14:anchorId="541E8357" wp14:editId="0EFBB84D">
            <wp:extent cx="5371465" cy="4883150"/>
            <wp:effectExtent l="0" t="0" r="635"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圖片 45"/>
                    <pic:cNvPicPr>
                      <a:picLocks noChangeAspect="1"/>
                    </pic:cNvPicPr>
                  </pic:nvPicPr>
                  <pic:blipFill>
                    <a:blip r:embed="rId9" cstate="print">
                      <a:extLst>
                        <a:ext uri="{28A0092B-C50C-407E-A947-70E740481C1C}">
                          <a14:useLocalDpi xmlns:a14="http://schemas.microsoft.com/office/drawing/2010/main" val="0"/>
                        </a:ext>
                      </a:extLst>
                    </a:blip>
                    <a:srcRect b="11375"/>
                    <a:stretch>
                      <a:fillRect/>
                    </a:stretch>
                  </pic:blipFill>
                  <pic:spPr>
                    <a:xfrm>
                      <a:off x="0" y="0"/>
                      <a:ext cx="5371465" cy="4883150"/>
                    </a:xfrm>
                    <a:prstGeom prst="rect">
                      <a:avLst/>
                    </a:prstGeom>
                    <a:ln>
                      <a:noFill/>
                    </a:ln>
                  </pic:spPr>
                </pic:pic>
              </a:graphicData>
            </a:graphic>
          </wp:inline>
        </w:drawing>
      </w:r>
    </w:p>
    <w:p w14:paraId="4764C726" w14:textId="69DA161F" w:rsidR="000F107F" w:rsidRDefault="000F107F" w:rsidP="000F107F">
      <w:pPr>
        <w:spacing w:afterLines="20" w:after="72" w:line="320" w:lineRule="exact"/>
      </w:pPr>
      <w:r>
        <w:rPr>
          <w:rStyle w:val="Strong"/>
        </w:rPr>
        <w:t>Figure S3. Oil Red O analysis shows cell line–dependent effects of PMR on lipid accumulation under fatty acid loading.</w:t>
      </w:r>
      <w:r>
        <w:rPr>
          <w:rStyle w:val="Strong"/>
          <w:rFonts w:eastAsia="宋体" w:hint="eastAsia"/>
          <w:lang w:eastAsia="zh-CN"/>
        </w:rPr>
        <w:t xml:space="preserve"> </w:t>
      </w:r>
      <w:r>
        <w:t>(</w:t>
      </w:r>
      <w:r>
        <w:rPr>
          <w:b/>
        </w:rPr>
        <w:t>A</w:t>
      </w:r>
      <w:r>
        <w:t xml:space="preserve">) Quantification of Oil Red O–positive lipid accumulation (fold change relative to the untreated control) in PLC/PRF/5, HepG2, and THLE-2 cells cultured with or without fatty acids (FA) and treated with individual PMR components or the FA-optimized PMR regimen (propolis 0.3×10⁻⁴, metformin 10 mM, regorafenib 1.1 </w:t>
      </w:r>
      <w:proofErr w:type="spellStart"/>
      <w:r>
        <w:t>μM</w:t>
      </w:r>
      <w:proofErr w:type="spellEnd"/>
      <w:r>
        <w:t xml:space="preserve">). Propolis is expressed as a fold-dilution of a 200 mg/mL extract stock (raw-material equivalents; </w:t>
      </w:r>
      <w:proofErr w:type="gramStart"/>
      <w:r>
        <w:t>0.3×10⁻⁴ ≈</w:t>
      </w:r>
      <w:proofErr w:type="gramEnd"/>
      <w:r>
        <w:t xml:space="preserve"> 6 </w:t>
      </w:r>
      <w:proofErr w:type="spellStart"/>
      <w:r>
        <w:t>μg</w:t>
      </w:r>
      <w:proofErr w:type="spellEnd"/>
      <w:r>
        <w:t>/mL).</w:t>
      </w:r>
      <w:r>
        <w:rPr>
          <w:rFonts w:eastAsia="宋体" w:hint="eastAsia"/>
          <w:lang w:eastAsia="zh-CN"/>
        </w:rPr>
        <w:t xml:space="preserve"> </w:t>
      </w:r>
      <w:r>
        <w:t>(</w:t>
      </w:r>
      <w:r>
        <w:rPr>
          <w:b/>
        </w:rPr>
        <w:t>B</w:t>
      </w:r>
      <w:r>
        <w:t xml:space="preserve">) Representative Oil Red O micrographs for each condition (columns) in each cell type (rows). FA increased lipid accumulation in PLC/PRF/5 and HepG2, whereas THLE-2 showed comparatively limited FA-induced lipid loading. In PLC/PRF/5, PMR did not reduce Oil Red O staining relative to FA alone, while in HepG2, metformin (alone and within PMR) was associated with reduced lipid staining under FA. Scale bars, 200 </w:t>
      </w:r>
      <w:proofErr w:type="spellStart"/>
      <w:r>
        <w:t>μm</w:t>
      </w:r>
      <w:proofErr w:type="spellEnd"/>
      <w:r>
        <w:t xml:space="preserve"> (shown on each micrograph). </w:t>
      </w:r>
      <w:proofErr w:type="gramStart"/>
      <w:r>
        <w:t>Data are mean ±</w:t>
      </w:r>
      <w:proofErr w:type="gramEnd"/>
      <w:r>
        <w:t xml:space="preserve"> SD; statistical testing and significance notation follow Methods (**</w:t>
      </w:r>
      <w:r>
        <w:rPr>
          <w:i/>
          <w:iCs/>
        </w:rPr>
        <w:t>p</w:t>
      </w:r>
      <w:r>
        <w:t xml:space="preserve"> &lt; 0.01; ****</w:t>
      </w:r>
      <w:r>
        <w:rPr>
          <w:i/>
          <w:iCs/>
        </w:rPr>
        <w:t>p</w:t>
      </w:r>
      <w:r>
        <w:t xml:space="preserve"> &lt; 0.0001; ns, not significant).</w:t>
      </w:r>
    </w:p>
    <w:p w14:paraId="56EF8425" w14:textId="77777777" w:rsidR="007C722A" w:rsidRDefault="000F107F" w:rsidP="007C722A">
      <w:pPr>
        <w:pStyle w:val="TSP52figure"/>
        <w:rPr>
          <w:rFonts w:eastAsia="PMingLiU"/>
        </w:rPr>
      </w:pPr>
      <w:r>
        <w:rPr>
          <w:rFonts w:eastAsia="PMingLiU"/>
          <w:noProof/>
        </w:rPr>
        <w:lastRenderedPageBreak/>
        <w:drawing>
          <wp:inline distT="0" distB="0" distL="0" distR="0" wp14:anchorId="1BB22FC7" wp14:editId="56A4B203">
            <wp:extent cx="5371465" cy="3588385"/>
            <wp:effectExtent l="0" t="0" r="635"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圖片 4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71465" cy="3588385"/>
                    </a:xfrm>
                    <a:prstGeom prst="rect">
                      <a:avLst/>
                    </a:prstGeom>
                  </pic:spPr>
                </pic:pic>
              </a:graphicData>
            </a:graphic>
          </wp:inline>
        </w:drawing>
      </w:r>
    </w:p>
    <w:p w14:paraId="4226620A" w14:textId="1D0C4644" w:rsidR="000F107F" w:rsidRDefault="000F107F" w:rsidP="007C722A">
      <w:pPr>
        <w:widowControl/>
        <w:spacing w:afterLines="20" w:after="72" w:line="320" w:lineRule="exact"/>
        <w:rPr>
          <w:rFonts w:eastAsia="PMingLiU" w:cs="Times New Roman"/>
          <w:b/>
          <w:bCs/>
          <w:kern w:val="0"/>
          <w:szCs w:val="24"/>
        </w:rPr>
      </w:pPr>
      <w:r>
        <w:rPr>
          <w:rFonts w:eastAsia="PMingLiU" w:cs="Times New Roman"/>
          <w:b/>
          <w:bCs/>
          <w:kern w:val="0"/>
          <w:szCs w:val="24"/>
        </w:rPr>
        <w:t xml:space="preserve">Figure S4. Zebrafish treatment schedules for embryotoxicity and MASLD-HCC larval drug exposure. </w:t>
      </w:r>
      <w:r>
        <w:rPr>
          <w:rFonts w:eastAsia="PMingLiU" w:cs="Times New Roman"/>
          <w:kern w:val="0"/>
          <w:szCs w:val="24"/>
        </w:rPr>
        <w:t>(</w:t>
      </w:r>
      <w:r>
        <w:rPr>
          <w:rFonts w:eastAsia="PMingLiU" w:cs="Times New Roman"/>
          <w:b/>
          <w:kern w:val="0"/>
          <w:szCs w:val="24"/>
        </w:rPr>
        <w:t>A</w:t>
      </w:r>
      <w:r>
        <w:rPr>
          <w:rFonts w:eastAsia="PMingLiU" w:cs="Times New Roman"/>
          <w:kern w:val="0"/>
          <w:szCs w:val="24"/>
        </w:rPr>
        <w:t xml:space="preserve">) Embryotoxicity assay schematic. Embryos were exposed to Taiwan propolis starting at the 3 </w:t>
      </w:r>
      <w:proofErr w:type="spellStart"/>
      <w:r>
        <w:rPr>
          <w:rFonts w:eastAsia="PMingLiU" w:cs="Times New Roman"/>
          <w:kern w:val="0"/>
          <w:szCs w:val="24"/>
        </w:rPr>
        <w:t>hpf</w:t>
      </w:r>
      <w:proofErr w:type="spellEnd"/>
      <w:r>
        <w:rPr>
          <w:rFonts w:eastAsia="PMingLiU" w:cs="Times New Roman"/>
          <w:kern w:val="0"/>
          <w:szCs w:val="24"/>
        </w:rPr>
        <w:t xml:space="preserve"> stage and maintained through 5 </w:t>
      </w:r>
      <w:proofErr w:type="spellStart"/>
      <w:r>
        <w:rPr>
          <w:rFonts w:eastAsia="PMingLiU" w:cs="Times New Roman"/>
          <w:kern w:val="0"/>
          <w:szCs w:val="24"/>
        </w:rPr>
        <w:t>dpf</w:t>
      </w:r>
      <w:proofErr w:type="spellEnd"/>
      <w:r>
        <w:rPr>
          <w:rFonts w:eastAsia="PMingLiU" w:cs="Times New Roman"/>
          <w:kern w:val="0"/>
          <w:szCs w:val="24"/>
        </w:rPr>
        <w:t xml:space="preserve"> with daily replacement of freshly prepared working solutions. Embryos were monitored daily (including removal of nonviable embryos) and imaged at the indicated time points to assess developmental toxicity across the dilution series.</w:t>
      </w:r>
      <w:r>
        <w:rPr>
          <w:rFonts w:eastAsia="PMingLiU" w:cs="Times New Roman" w:hint="eastAsia"/>
          <w:kern w:val="0"/>
          <w:szCs w:val="24"/>
        </w:rPr>
        <w:t xml:space="preserve"> </w:t>
      </w:r>
      <w:r>
        <w:rPr>
          <w:rFonts w:eastAsia="PMingLiU" w:cs="Times New Roman"/>
          <w:kern w:val="0"/>
          <w:szCs w:val="24"/>
        </w:rPr>
        <w:t>(</w:t>
      </w:r>
      <w:r>
        <w:rPr>
          <w:rFonts w:eastAsia="PMingLiU" w:cs="Times New Roman"/>
          <w:b/>
          <w:kern w:val="0"/>
          <w:szCs w:val="24"/>
        </w:rPr>
        <w:t>B</w:t>
      </w:r>
      <w:r>
        <w:rPr>
          <w:rFonts w:eastAsia="PMingLiU" w:cs="Times New Roman"/>
          <w:kern w:val="0"/>
          <w:szCs w:val="24"/>
        </w:rPr>
        <w:t xml:space="preserve">) Larval drug-treatment timeline used in the MASLD-HCC experiments. Larvae were maintained in PTU/E3 buffer during early development, screened for fluorescence at 3 </w:t>
      </w:r>
      <w:proofErr w:type="spellStart"/>
      <w:r>
        <w:rPr>
          <w:rFonts w:eastAsia="PMingLiU" w:cs="Times New Roman"/>
          <w:kern w:val="0"/>
          <w:szCs w:val="24"/>
        </w:rPr>
        <w:t>dpf</w:t>
      </w:r>
      <w:proofErr w:type="spellEnd"/>
      <w:r>
        <w:rPr>
          <w:rFonts w:eastAsia="PMingLiU" w:cs="Times New Roman"/>
          <w:kern w:val="0"/>
          <w:szCs w:val="24"/>
        </w:rPr>
        <w:t xml:space="preserve">, and then assigned to normal diet (ND; 12% fat) or high-fat diet (HFD; 24% fat) starting at 5 </w:t>
      </w:r>
      <w:proofErr w:type="spellStart"/>
      <w:r>
        <w:rPr>
          <w:rFonts w:eastAsia="PMingLiU" w:cs="Times New Roman"/>
          <w:kern w:val="0"/>
          <w:szCs w:val="24"/>
        </w:rPr>
        <w:t>dpf</w:t>
      </w:r>
      <w:proofErr w:type="spellEnd"/>
      <w:r>
        <w:rPr>
          <w:rFonts w:eastAsia="PMingLiU" w:cs="Times New Roman"/>
          <w:kern w:val="0"/>
          <w:szCs w:val="24"/>
        </w:rPr>
        <w:t xml:space="preserve">. Drug treatment was administered from 10–15 </w:t>
      </w:r>
      <w:proofErr w:type="spellStart"/>
      <w:r>
        <w:rPr>
          <w:rFonts w:eastAsia="PMingLiU" w:cs="Times New Roman"/>
          <w:kern w:val="0"/>
          <w:szCs w:val="24"/>
        </w:rPr>
        <w:t>dpf</w:t>
      </w:r>
      <w:proofErr w:type="spellEnd"/>
      <w:r>
        <w:rPr>
          <w:rFonts w:eastAsia="PMingLiU" w:cs="Times New Roman"/>
          <w:kern w:val="0"/>
          <w:szCs w:val="24"/>
        </w:rPr>
        <w:t xml:space="preserve">, with confocal imaging performed at 9, 12, and 15 </w:t>
      </w:r>
      <w:proofErr w:type="spellStart"/>
      <w:r>
        <w:rPr>
          <w:rFonts w:eastAsia="PMingLiU" w:cs="Times New Roman"/>
          <w:kern w:val="0"/>
          <w:szCs w:val="24"/>
        </w:rPr>
        <w:t>dpf</w:t>
      </w:r>
      <w:proofErr w:type="spellEnd"/>
      <w:r>
        <w:rPr>
          <w:rFonts w:eastAsia="PMingLiU" w:cs="Times New Roman"/>
          <w:kern w:val="0"/>
          <w:szCs w:val="24"/>
        </w:rPr>
        <w:t xml:space="preserve"> as indicated.</w:t>
      </w:r>
    </w:p>
    <w:p w14:paraId="289245F3" w14:textId="77777777" w:rsidR="007C722A" w:rsidRDefault="000F107F" w:rsidP="007C722A">
      <w:pPr>
        <w:pStyle w:val="TSP52figure"/>
        <w:rPr>
          <w:rFonts w:eastAsia="PMingLiU"/>
        </w:rPr>
      </w:pPr>
      <w:r>
        <w:rPr>
          <w:rFonts w:eastAsia="PMingLiU"/>
          <w:noProof/>
        </w:rPr>
        <w:drawing>
          <wp:inline distT="0" distB="0" distL="0" distR="0" wp14:anchorId="276A3E6D" wp14:editId="687F1FBF">
            <wp:extent cx="5371465" cy="1877060"/>
            <wp:effectExtent l="0" t="0" r="635" b="889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圖片 4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71465" cy="1877060"/>
                    </a:xfrm>
                    <a:prstGeom prst="rect">
                      <a:avLst/>
                    </a:prstGeom>
                  </pic:spPr>
                </pic:pic>
              </a:graphicData>
            </a:graphic>
          </wp:inline>
        </w:drawing>
      </w:r>
    </w:p>
    <w:p w14:paraId="51AC085D" w14:textId="01925012" w:rsidR="000F107F" w:rsidRDefault="000F107F" w:rsidP="007C722A">
      <w:pPr>
        <w:widowControl/>
        <w:spacing w:afterLines="20" w:after="72" w:line="320" w:lineRule="exact"/>
        <w:rPr>
          <w:rFonts w:eastAsia="PMingLiU" w:cs="Times New Roman"/>
          <w:b/>
          <w:kern w:val="0"/>
          <w:szCs w:val="24"/>
        </w:rPr>
      </w:pPr>
      <w:r>
        <w:rPr>
          <w:rFonts w:eastAsia="PMingLiU" w:cs="Times New Roman"/>
          <w:b/>
          <w:bCs/>
          <w:kern w:val="0"/>
          <w:szCs w:val="24"/>
        </w:rPr>
        <w:t>Figure S5. Embryotoxicity profiling of Taiwan propolis in zebrafish embryos.</w:t>
      </w:r>
      <w:r>
        <w:rPr>
          <w:rFonts w:eastAsia="宋体" w:cs="Times New Roman" w:hint="eastAsia"/>
          <w:b/>
          <w:bCs/>
          <w:kern w:val="0"/>
          <w:szCs w:val="24"/>
          <w:lang w:eastAsia="zh-CN"/>
        </w:rPr>
        <w:t xml:space="preserve"> </w:t>
      </w:r>
      <w:proofErr w:type="spellStart"/>
      <w:proofErr w:type="gramStart"/>
      <w:r>
        <w:rPr>
          <w:rFonts w:eastAsia="PMingLiU" w:cs="Times New Roman"/>
          <w:kern w:val="0"/>
          <w:szCs w:val="24"/>
        </w:rPr>
        <w:t>Tg</w:t>
      </w:r>
      <w:proofErr w:type="spellEnd"/>
      <w:r>
        <w:rPr>
          <w:rFonts w:eastAsia="PMingLiU" w:cs="Times New Roman"/>
          <w:kern w:val="0"/>
          <w:szCs w:val="24"/>
        </w:rPr>
        <w:t>(</w:t>
      </w:r>
      <w:proofErr w:type="spellStart"/>
      <w:r>
        <w:rPr>
          <w:rFonts w:eastAsia="PMingLiU" w:cs="Times New Roman"/>
          <w:i/>
          <w:iCs/>
          <w:kern w:val="0"/>
          <w:szCs w:val="24"/>
        </w:rPr>
        <w:t>mpeg:mCherry</w:t>
      </w:r>
      <w:proofErr w:type="spellEnd"/>
      <w:proofErr w:type="gramEnd"/>
      <w:r>
        <w:rPr>
          <w:rFonts w:eastAsia="PMingLiU" w:cs="Times New Roman"/>
          <w:kern w:val="0"/>
          <w:szCs w:val="24"/>
        </w:rPr>
        <w:t xml:space="preserve">; </w:t>
      </w:r>
      <w:proofErr w:type="spellStart"/>
      <w:proofErr w:type="gramStart"/>
      <w:r>
        <w:rPr>
          <w:rFonts w:eastAsia="PMingLiU" w:cs="Times New Roman"/>
          <w:i/>
          <w:iCs/>
          <w:kern w:val="0"/>
          <w:szCs w:val="24"/>
        </w:rPr>
        <w:t>mpx:EGFP</w:t>
      </w:r>
      <w:proofErr w:type="spellEnd"/>
      <w:proofErr w:type="gramEnd"/>
      <w:r>
        <w:rPr>
          <w:rFonts w:eastAsia="PMingLiU" w:cs="Times New Roman"/>
          <w:kern w:val="0"/>
          <w:szCs w:val="24"/>
        </w:rPr>
        <w:t xml:space="preserve">; </w:t>
      </w:r>
      <w:r>
        <w:rPr>
          <w:rFonts w:eastAsia="PMingLiU" w:cs="Times New Roman"/>
          <w:i/>
          <w:iCs/>
          <w:kern w:val="0"/>
          <w:szCs w:val="24"/>
        </w:rPr>
        <w:t>fabp10a:CD36</w:t>
      </w:r>
      <w:r>
        <w:rPr>
          <w:rFonts w:eastAsia="PMingLiU" w:cs="Times New Roman"/>
          <w:kern w:val="0"/>
          <w:szCs w:val="24"/>
        </w:rPr>
        <w:t xml:space="preserve">; </w:t>
      </w:r>
      <w:r>
        <w:rPr>
          <w:rFonts w:eastAsia="PMingLiU" w:cs="Times New Roman"/>
          <w:i/>
          <w:iCs/>
          <w:kern w:val="0"/>
          <w:szCs w:val="24"/>
        </w:rPr>
        <w:t>myl</w:t>
      </w:r>
      <w:proofErr w:type="gramStart"/>
      <w:r>
        <w:rPr>
          <w:rFonts w:eastAsia="PMingLiU" w:cs="Times New Roman"/>
          <w:i/>
          <w:iCs/>
          <w:kern w:val="0"/>
          <w:szCs w:val="24"/>
        </w:rPr>
        <w:t>7:EGFP</w:t>
      </w:r>
      <w:proofErr w:type="gramEnd"/>
      <w:r>
        <w:rPr>
          <w:rFonts w:eastAsia="PMingLiU" w:cs="Times New Roman"/>
          <w:kern w:val="0"/>
          <w:szCs w:val="24"/>
        </w:rPr>
        <w:t xml:space="preserve">); </w:t>
      </w:r>
      <w:r>
        <w:rPr>
          <w:rFonts w:eastAsia="PMingLiU" w:cs="Times New Roman"/>
          <w:i/>
          <w:iCs/>
          <w:kern w:val="0"/>
          <w:szCs w:val="24"/>
        </w:rPr>
        <w:t>abcg1(KO1)</w:t>
      </w:r>
      <w:r>
        <w:rPr>
          <w:rFonts w:eastAsia="PMingLiU" w:cs="Times New Roman"/>
          <w:kern w:val="0"/>
          <w:szCs w:val="24"/>
        </w:rPr>
        <w:t xml:space="preserve"> embryos were exposed to Taiwan propolis across the indicated dilution series from 2 hours post-fertilization (</w:t>
      </w:r>
      <w:proofErr w:type="spellStart"/>
      <w:r>
        <w:rPr>
          <w:rFonts w:eastAsia="PMingLiU" w:cs="Times New Roman"/>
          <w:kern w:val="0"/>
          <w:szCs w:val="24"/>
        </w:rPr>
        <w:t>hpf</w:t>
      </w:r>
      <w:proofErr w:type="spellEnd"/>
      <w:r>
        <w:rPr>
          <w:rFonts w:eastAsia="PMingLiU" w:cs="Times New Roman"/>
          <w:kern w:val="0"/>
          <w:szCs w:val="24"/>
        </w:rPr>
        <w:t>) through 5 days post-fertilization (</w:t>
      </w:r>
      <w:proofErr w:type="spellStart"/>
      <w:r>
        <w:rPr>
          <w:rFonts w:eastAsia="PMingLiU" w:cs="Times New Roman"/>
          <w:kern w:val="0"/>
          <w:szCs w:val="24"/>
        </w:rPr>
        <w:t>dpf</w:t>
      </w:r>
      <w:proofErr w:type="spellEnd"/>
      <w:r>
        <w:rPr>
          <w:rFonts w:eastAsia="PMingLiU" w:cs="Times New Roman"/>
          <w:kern w:val="0"/>
          <w:szCs w:val="24"/>
        </w:rPr>
        <w:t>), with daily renewal of freshly prepared solutions. (</w:t>
      </w:r>
      <w:r>
        <w:rPr>
          <w:rFonts w:eastAsia="PMingLiU" w:cs="Times New Roman"/>
          <w:b/>
          <w:bCs/>
          <w:kern w:val="0"/>
          <w:szCs w:val="24"/>
        </w:rPr>
        <w:t>A</w:t>
      </w:r>
      <w:r>
        <w:rPr>
          <w:rFonts w:eastAsia="PMingLiU" w:cs="Times New Roman"/>
          <w:kern w:val="0"/>
          <w:szCs w:val="24"/>
        </w:rPr>
        <w:t xml:space="preserve">) Embryo survival (%) monitored longitudinally from 0–5 </w:t>
      </w:r>
      <w:proofErr w:type="spellStart"/>
      <w:r>
        <w:rPr>
          <w:rFonts w:eastAsia="PMingLiU" w:cs="Times New Roman"/>
          <w:kern w:val="0"/>
          <w:szCs w:val="24"/>
        </w:rPr>
        <w:t>dpf</w:t>
      </w:r>
      <w:proofErr w:type="spellEnd"/>
      <w:r>
        <w:rPr>
          <w:rFonts w:eastAsia="PMingLiU" w:cs="Times New Roman"/>
          <w:kern w:val="0"/>
          <w:szCs w:val="24"/>
        </w:rPr>
        <w:t>. (</w:t>
      </w:r>
      <w:r>
        <w:rPr>
          <w:rFonts w:eastAsia="PMingLiU" w:cs="Times New Roman"/>
          <w:b/>
          <w:bCs/>
          <w:kern w:val="0"/>
          <w:szCs w:val="24"/>
        </w:rPr>
        <w:t>B</w:t>
      </w:r>
      <w:r>
        <w:rPr>
          <w:rFonts w:eastAsia="PMingLiU" w:cs="Times New Roman"/>
          <w:kern w:val="0"/>
          <w:szCs w:val="24"/>
        </w:rPr>
        <w:t xml:space="preserve">) Incidence (%) of developmental abnormalities scored at 5 </w:t>
      </w:r>
      <w:proofErr w:type="spellStart"/>
      <w:r>
        <w:rPr>
          <w:rFonts w:eastAsia="PMingLiU" w:cs="Times New Roman"/>
          <w:kern w:val="0"/>
          <w:szCs w:val="24"/>
        </w:rPr>
        <w:t>dpf</w:t>
      </w:r>
      <w:proofErr w:type="spellEnd"/>
      <w:r>
        <w:rPr>
          <w:rFonts w:eastAsia="PMingLiU" w:cs="Times New Roman"/>
          <w:kern w:val="0"/>
          <w:szCs w:val="24"/>
        </w:rPr>
        <w:t xml:space="preserve">, including pericardial edema and tail malformation (shown alongside survival at 5 </w:t>
      </w:r>
      <w:proofErr w:type="spellStart"/>
      <w:r>
        <w:rPr>
          <w:rFonts w:eastAsia="PMingLiU" w:cs="Times New Roman"/>
          <w:kern w:val="0"/>
          <w:szCs w:val="24"/>
        </w:rPr>
        <w:t>dpf</w:t>
      </w:r>
      <w:proofErr w:type="spellEnd"/>
      <w:r>
        <w:rPr>
          <w:rFonts w:eastAsia="PMingLiU" w:cs="Times New Roman"/>
          <w:kern w:val="0"/>
          <w:szCs w:val="24"/>
        </w:rPr>
        <w:t xml:space="preserve">). Data </w:t>
      </w:r>
      <w:proofErr w:type="gramStart"/>
      <w:r>
        <w:rPr>
          <w:rFonts w:eastAsia="PMingLiU" w:cs="Times New Roman"/>
          <w:kern w:val="0"/>
          <w:szCs w:val="24"/>
        </w:rPr>
        <w:t>are</w:t>
      </w:r>
      <w:proofErr w:type="gramEnd"/>
      <w:r>
        <w:rPr>
          <w:rFonts w:eastAsia="PMingLiU" w:cs="Times New Roman"/>
          <w:kern w:val="0"/>
          <w:szCs w:val="24"/>
        </w:rPr>
        <w:t xml:space="preserve"> shown as mean ± SD from independent experiments. This figure is presented descriptively to define tolerability for dose selection; no hypothesis-testing statistics or significance annotations were applied.</w:t>
      </w:r>
    </w:p>
    <w:p w14:paraId="15AFC110" w14:textId="77777777" w:rsidR="007C722A" w:rsidRDefault="000F107F" w:rsidP="007C722A">
      <w:pPr>
        <w:pStyle w:val="TSP52figure"/>
        <w:rPr>
          <w:rFonts w:eastAsia="PMingLiU"/>
        </w:rPr>
      </w:pPr>
      <w:r>
        <w:rPr>
          <w:rFonts w:eastAsia="PMingLiU"/>
          <w:noProof/>
        </w:rPr>
        <w:lastRenderedPageBreak/>
        <w:drawing>
          <wp:inline distT="0" distB="0" distL="0" distR="0" wp14:anchorId="6E04D9CE" wp14:editId="09D0F8D3">
            <wp:extent cx="5371465" cy="6917690"/>
            <wp:effectExtent l="0" t="0" r="635"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圖片 4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71465" cy="6917690"/>
                    </a:xfrm>
                    <a:prstGeom prst="rect">
                      <a:avLst/>
                    </a:prstGeom>
                  </pic:spPr>
                </pic:pic>
              </a:graphicData>
            </a:graphic>
          </wp:inline>
        </w:drawing>
      </w:r>
    </w:p>
    <w:p w14:paraId="0AD4F497" w14:textId="0B0FAA71" w:rsidR="000F107F" w:rsidRDefault="000F107F" w:rsidP="007C722A">
      <w:pPr>
        <w:spacing w:afterLines="20" w:after="72" w:line="320" w:lineRule="exact"/>
        <w:rPr>
          <w:rFonts w:eastAsia="PMingLiU" w:cs="Times New Roman"/>
          <w:kern w:val="0"/>
          <w:sz w:val="20"/>
          <w:szCs w:val="24"/>
        </w:rPr>
      </w:pPr>
      <w:r>
        <w:rPr>
          <w:rFonts w:eastAsia="PMingLiU" w:cs="Times New Roman"/>
          <w:b/>
          <w:kern w:val="0"/>
          <w:szCs w:val="24"/>
        </w:rPr>
        <w:t xml:space="preserve">Figure S6. PMR </w:t>
      </w:r>
      <w:proofErr w:type="gramStart"/>
      <w:r>
        <w:rPr>
          <w:rFonts w:eastAsia="PMingLiU" w:cs="Times New Roman"/>
          <w:b/>
          <w:kern w:val="0"/>
          <w:szCs w:val="24"/>
        </w:rPr>
        <w:t>dose series</w:t>
      </w:r>
      <w:proofErr w:type="gramEnd"/>
      <w:r>
        <w:rPr>
          <w:rFonts w:eastAsia="PMingLiU" w:cs="Times New Roman"/>
          <w:b/>
          <w:kern w:val="0"/>
          <w:szCs w:val="24"/>
        </w:rPr>
        <w:t xml:space="preserve"> </w:t>
      </w:r>
      <w:proofErr w:type="gramStart"/>
      <w:r>
        <w:rPr>
          <w:rFonts w:eastAsia="PMingLiU" w:cs="Times New Roman"/>
          <w:b/>
          <w:kern w:val="0"/>
          <w:szCs w:val="24"/>
        </w:rPr>
        <w:t>modulates</w:t>
      </w:r>
      <w:proofErr w:type="gramEnd"/>
      <w:r>
        <w:rPr>
          <w:rFonts w:eastAsia="PMingLiU" w:cs="Times New Roman"/>
          <w:b/>
          <w:kern w:val="0"/>
          <w:szCs w:val="24"/>
        </w:rPr>
        <w:t xml:space="preserve"> innate immune infiltration in a MASLD-HCC zebrafish model.</w:t>
      </w:r>
      <w:r>
        <w:rPr>
          <w:rFonts w:eastAsia="宋体" w:cs="Times New Roman" w:hint="eastAsia"/>
          <w:b/>
          <w:kern w:val="0"/>
          <w:szCs w:val="24"/>
          <w:lang w:eastAsia="zh-CN"/>
        </w:rPr>
        <w:t xml:space="preserve"> </w:t>
      </w:r>
      <w:r>
        <w:rPr>
          <w:rFonts w:eastAsia="PMingLiU" w:cs="Times New Roman"/>
          <w:kern w:val="0"/>
          <w:szCs w:val="24"/>
        </w:rPr>
        <w:t>(</w:t>
      </w:r>
      <w:r>
        <w:rPr>
          <w:rFonts w:eastAsia="PMingLiU" w:cs="Times New Roman"/>
          <w:b/>
          <w:bCs/>
          <w:kern w:val="0"/>
          <w:szCs w:val="24"/>
        </w:rPr>
        <w:t>A</w:t>
      </w:r>
      <w:r>
        <w:rPr>
          <w:rFonts w:eastAsia="PMingLiU" w:cs="Times New Roman"/>
          <w:kern w:val="0"/>
          <w:szCs w:val="24"/>
        </w:rPr>
        <w:t xml:space="preserve">) Representative confocal images of the liver region (outlined) in </w:t>
      </w:r>
      <w:proofErr w:type="spellStart"/>
      <w:r>
        <w:rPr>
          <w:rFonts w:eastAsia="PMingLiU" w:cs="Times New Roman"/>
          <w:kern w:val="0"/>
          <w:szCs w:val="24"/>
        </w:rPr>
        <w:t>Tg</w:t>
      </w:r>
      <w:proofErr w:type="spellEnd"/>
      <w:r>
        <w:rPr>
          <w:rFonts w:eastAsia="PMingLiU" w:cs="Times New Roman"/>
          <w:kern w:val="0"/>
          <w:szCs w:val="24"/>
        </w:rPr>
        <w:t>(</w:t>
      </w:r>
      <w:proofErr w:type="spellStart"/>
      <w:r>
        <w:rPr>
          <w:rFonts w:eastAsia="PMingLiU" w:cs="Times New Roman"/>
          <w:i/>
          <w:iCs/>
          <w:kern w:val="0"/>
          <w:szCs w:val="24"/>
        </w:rPr>
        <w:t>mpeg:mCherry</w:t>
      </w:r>
      <w:proofErr w:type="spellEnd"/>
      <w:r>
        <w:rPr>
          <w:rFonts w:eastAsia="PMingLiU" w:cs="Times New Roman"/>
          <w:kern w:val="0"/>
          <w:szCs w:val="24"/>
        </w:rPr>
        <w:t xml:space="preserve">; </w:t>
      </w:r>
      <w:proofErr w:type="spellStart"/>
      <w:r>
        <w:rPr>
          <w:rFonts w:eastAsia="PMingLiU" w:cs="Times New Roman"/>
          <w:i/>
          <w:iCs/>
          <w:kern w:val="0"/>
          <w:szCs w:val="24"/>
        </w:rPr>
        <w:t>mpx:EGFP</w:t>
      </w:r>
      <w:proofErr w:type="spellEnd"/>
      <w:r>
        <w:rPr>
          <w:rFonts w:eastAsia="PMingLiU" w:cs="Times New Roman"/>
          <w:kern w:val="0"/>
          <w:szCs w:val="24"/>
        </w:rPr>
        <w:t xml:space="preserve">) wild-type (WT) larvae and </w:t>
      </w:r>
      <w:proofErr w:type="spellStart"/>
      <w:r>
        <w:rPr>
          <w:rFonts w:eastAsia="PMingLiU" w:cs="Times New Roman"/>
          <w:kern w:val="0"/>
          <w:szCs w:val="24"/>
        </w:rPr>
        <w:t>Tg</w:t>
      </w:r>
      <w:proofErr w:type="spellEnd"/>
      <w:r>
        <w:rPr>
          <w:rFonts w:eastAsia="PMingLiU" w:cs="Times New Roman"/>
          <w:kern w:val="0"/>
          <w:szCs w:val="24"/>
        </w:rPr>
        <w:t>(</w:t>
      </w:r>
      <w:proofErr w:type="spellStart"/>
      <w:r>
        <w:rPr>
          <w:rFonts w:eastAsia="PMingLiU" w:cs="Times New Roman"/>
          <w:i/>
          <w:iCs/>
          <w:kern w:val="0"/>
          <w:szCs w:val="24"/>
        </w:rPr>
        <w:t>mpeg:mCherry</w:t>
      </w:r>
      <w:proofErr w:type="spellEnd"/>
      <w:r>
        <w:rPr>
          <w:rFonts w:eastAsia="PMingLiU" w:cs="Times New Roman"/>
          <w:kern w:val="0"/>
          <w:szCs w:val="24"/>
        </w:rPr>
        <w:t xml:space="preserve">; </w:t>
      </w:r>
      <w:proofErr w:type="spellStart"/>
      <w:r>
        <w:rPr>
          <w:rFonts w:eastAsia="PMingLiU" w:cs="Times New Roman"/>
          <w:i/>
          <w:iCs/>
          <w:kern w:val="0"/>
          <w:szCs w:val="24"/>
        </w:rPr>
        <w:t>mpx:EGFP</w:t>
      </w:r>
      <w:proofErr w:type="spellEnd"/>
      <w:r>
        <w:rPr>
          <w:rFonts w:eastAsia="PMingLiU" w:cs="Times New Roman"/>
          <w:kern w:val="0"/>
          <w:szCs w:val="24"/>
        </w:rPr>
        <w:t xml:space="preserve">; </w:t>
      </w:r>
      <w:r>
        <w:rPr>
          <w:rFonts w:eastAsia="PMingLiU" w:cs="Times New Roman"/>
          <w:i/>
          <w:iCs/>
          <w:kern w:val="0"/>
          <w:szCs w:val="24"/>
        </w:rPr>
        <w:t>fabp10a:CD36</w:t>
      </w:r>
      <w:r>
        <w:rPr>
          <w:rFonts w:eastAsia="PMingLiU" w:cs="Times New Roman"/>
          <w:kern w:val="0"/>
          <w:szCs w:val="24"/>
        </w:rPr>
        <w:t xml:space="preserve">; </w:t>
      </w:r>
      <w:r>
        <w:rPr>
          <w:rFonts w:eastAsia="PMingLiU" w:cs="Times New Roman"/>
          <w:i/>
          <w:iCs/>
          <w:kern w:val="0"/>
          <w:szCs w:val="24"/>
        </w:rPr>
        <w:t>myl7:EGFP</w:t>
      </w:r>
      <w:r>
        <w:rPr>
          <w:rFonts w:eastAsia="PMingLiU" w:cs="Times New Roman"/>
          <w:kern w:val="0"/>
          <w:szCs w:val="24"/>
        </w:rPr>
        <w:t xml:space="preserve">); </w:t>
      </w:r>
      <w:r>
        <w:rPr>
          <w:rFonts w:eastAsia="PMingLiU" w:cs="Times New Roman"/>
          <w:i/>
          <w:iCs/>
          <w:kern w:val="0"/>
          <w:szCs w:val="24"/>
        </w:rPr>
        <w:t>abcg1(KO1)</w:t>
      </w:r>
      <w:r>
        <w:rPr>
          <w:rFonts w:eastAsia="PMingLiU" w:cs="Times New Roman"/>
          <w:kern w:val="0"/>
          <w:szCs w:val="24"/>
        </w:rPr>
        <w:t xml:space="preserve"> MASLD-HCC larvae at 9, 12, and 15 </w:t>
      </w:r>
      <w:proofErr w:type="spellStart"/>
      <w:r>
        <w:rPr>
          <w:rFonts w:eastAsia="PMingLiU" w:cs="Times New Roman"/>
          <w:kern w:val="0"/>
          <w:szCs w:val="24"/>
        </w:rPr>
        <w:t>dpf</w:t>
      </w:r>
      <w:proofErr w:type="spellEnd"/>
      <w:r>
        <w:rPr>
          <w:rFonts w:eastAsia="PMingLiU" w:cs="Times New Roman"/>
          <w:kern w:val="0"/>
          <w:szCs w:val="24"/>
        </w:rPr>
        <w:t xml:space="preserve"> after PMR treatment at three dose levels: high (H; propolis 1×10⁻⁵, metformin 54 </w:t>
      </w:r>
      <w:proofErr w:type="spellStart"/>
      <w:r>
        <w:rPr>
          <w:rFonts w:eastAsia="PMingLiU" w:cs="Times New Roman"/>
          <w:kern w:val="0"/>
          <w:szCs w:val="24"/>
        </w:rPr>
        <w:t>μM</w:t>
      </w:r>
      <w:proofErr w:type="spellEnd"/>
      <w:r>
        <w:rPr>
          <w:rFonts w:eastAsia="PMingLiU" w:cs="Times New Roman"/>
          <w:kern w:val="0"/>
          <w:szCs w:val="24"/>
        </w:rPr>
        <w:t xml:space="preserve">, regorafenib 63 </w:t>
      </w:r>
      <w:proofErr w:type="spellStart"/>
      <w:r>
        <w:rPr>
          <w:rFonts w:eastAsia="PMingLiU" w:cs="Times New Roman"/>
          <w:kern w:val="0"/>
          <w:szCs w:val="24"/>
        </w:rPr>
        <w:t>nM</w:t>
      </w:r>
      <w:proofErr w:type="spellEnd"/>
      <w:r>
        <w:rPr>
          <w:rFonts w:eastAsia="PMingLiU" w:cs="Times New Roman"/>
          <w:kern w:val="0"/>
          <w:szCs w:val="24"/>
        </w:rPr>
        <w:t xml:space="preserve">), medium (M; propolis 0.3×10⁻⁵, metformin 18 </w:t>
      </w:r>
      <w:proofErr w:type="spellStart"/>
      <w:r>
        <w:rPr>
          <w:rFonts w:eastAsia="PMingLiU" w:cs="Times New Roman"/>
          <w:kern w:val="0"/>
          <w:szCs w:val="24"/>
        </w:rPr>
        <w:t>μM</w:t>
      </w:r>
      <w:proofErr w:type="spellEnd"/>
      <w:r>
        <w:rPr>
          <w:rFonts w:eastAsia="PMingLiU" w:cs="Times New Roman"/>
          <w:kern w:val="0"/>
          <w:szCs w:val="24"/>
        </w:rPr>
        <w:t xml:space="preserve">, regorafenib 21 </w:t>
      </w:r>
      <w:proofErr w:type="spellStart"/>
      <w:r>
        <w:rPr>
          <w:rFonts w:eastAsia="PMingLiU" w:cs="Times New Roman"/>
          <w:kern w:val="0"/>
          <w:szCs w:val="24"/>
        </w:rPr>
        <w:t>nM</w:t>
      </w:r>
      <w:proofErr w:type="spellEnd"/>
      <w:r>
        <w:rPr>
          <w:rFonts w:eastAsia="PMingLiU" w:cs="Times New Roman"/>
          <w:kern w:val="0"/>
          <w:szCs w:val="24"/>
        </w:rPr>
        <w:t xml:space="preserve">), or low (L; propolis 0.1×10⁻⁵, metformin 6 </w:t>
      </w:r>
      <w:proofErr w:type="spellStart"/>
      <w:r>
        <w:rPr>
          <w:rFonts w:eastAsia="PMingLiU" w:cs="Times New Roman"/>
          <w:kern w:val="0"/>
          <w:szCs w:val="24"/>
        </w:rPr>
        <w:t>μM</w:t>
      </w:r>
      <w:proofErr w:type="spellEnd"/>
      <w:r>
        <w:rPr>
          <w:rFonts w:eastAsia="PMingLiU" w:cs="Times New Roman"/>
          <w:kern w:val="0"/>
          <w:szCs w:val="24"/>
        </w:rPr>
        <w:t xml:space="preserve">, regorafenib 7 </w:t>
      </w:r>
      <w:proofErr w:type="spellStart"/>
      <w:r>
        <w:rPr>
          <w:rFonts w:eastAsia="PMingLiU" w:cs="Times New Roman"/>
          <w:kern w:val="0"/>
          <w:szCs w:val="24"/>
        </w:rPr>
        <w:t>nM</w:t>
      </w:r>
      <w:proofErr w:type="spellEnd"/>
      <w:r>
        <w:rPr>
          <w:rFonts w:eastAsia="PMingLiU" w:cs="Times New Roman"/>
          <w:kern w:val="0"/>
          <w:szCs w:val="24"/>
        </w:rPr>
        <w:t xml:space="preserve">). Macrophages are </w:t>
      </w:r>
      <w:proofErr w:type="gramStart"/>
      <w:r>
        <w:rPr>
          <w:rFonts w:eastAsia="PMingLiU" w:cs="Times New Roman"/>
          <w:kern w:val="0"/>
          <w:szCs w:val="24"/>
        </w:rPr>
        <w:t>labeled  by</w:t>
      </w:r>
      <w:proofErr w:type="gramEnd"/>
      <w:r>
        <w:rPr>
          <w:rFonts w:eastAsia="PMingLiU" w:cs="Times New Roman"/>
          <w:kern w:val="0"/>
          <w:szCs w:val="24"/>
        </w:rPr>
        <w:t xml:space="preserve"> </w:t>
      </w:r>
      <w:proofErr w:type="spellStart"/>
      <w:proofErr w:type="gramStart"/>
      <w:r>
        <w:rPr>
          <w:rFonts w:eastAsia="PMingLiU" w:cs="Times New Roman"/>
          <w:i/>
          <w:iCs/>
          <w:kern w:val="0"/>
          <w:szCs w:val="24"/>
        </w:rPr>
        <w:t>mpeg:mCherry</w:t>
      </w:r>
      <w:proofErr w:type="spellEnd"/>
      <w:proofErr w:type="gramEnd"/>
      <w:r>
        <w:rPr>
          <w:rFonts w:eastAsia="PMingLiU" w:cs="Times New Roman"/>
          <w:kern w:val="0"/>
          <w:szCs w:val="24"/>
        </w:rPr>
        <w:t xml:space="preserve"> (red) and neutrophils by </w:t>
      </w:r>
      <w:proofErr w:type="spellStart"/>
      <w:proofErr w:type="gramStart"/>
      <w:r>
        <w:rPr>
          <w:rFonts w:eastAsia="PMingLiU" w:cs="Times New Roman"/>
          <w:i/>
          <w:iCs/>
          <w:kern w:val="0"/>
          <w:szCs w:val="24"/>
        </w:rPr>
        <w:t>mpx:EGFP</w:t>
      </w:r>
      <w:proofErr w:type="spellEnd"/>
      <w:proofErr w:type="gramEnd"/>
      <w:r>
        <w:rPr>
          <w:rFonts w:eastAsia="PMingLiU" w:cs="Times New Roman"/>
          <w:i/>
          <w:iCs/>
          <w:kern w:val="0"/>
          <w:szCs w:val="24"/>
        </w:rPr>
        <w:t xml:space="preserve"> </w:t>
      </w:r>
      <w:r>
        <w:rPr>
          <w:rFonts w:eastAsia="PMingLiU" w:cs="Times New Roman"/>
          <w:kern w:val="0"/>
          <w:szCs w:val="24"/>
        </w:rPr>
        <w:t xml:space="preserve">(green); </w:t>
      </w:r>
      <w:r>
        <w:rPr>
          <w:rFonts w:eastAsia="PMingLiU" w:cs="Times New Roman"/>
          <w:i/>
          <w:iCs/>
          <w:kern w:val="0"/>
          <w:szCs w:val="24"/>
        </w:rPr>
        <w:t>myl</w:t>
      </w:r>
      <w:proofErr w:type="gramStart"/>
      <w:r>
        <w:rPr>
          <w:rFonts w:eastAsia="PMingLiU" w:cs="Times New Roman"/>
          <w:i/>
          <w:iCs/>
          <w:kern w:val="0"/>
          <w:szCs w:val="24"/>
        </w:rPr>
        <w:t>7:EGFP</w:t>
      </w:r>
      <w:proofErr w:type="gramEnd"/>
      <w:r>
        <w:rPr>
          <w:rFonts w:eastAsia="PMingLiU" w:cs="Times New Roman"/>
          <w:kern w:val="0"/>
          <w:szCs w:val="24"/>
        </w:rPr>
        <w:t xml:space="preserve"> marks the heart as an anatomical reference. </w:t>
      </w:r>
      <w:r>
        <w:rPr>
          <w:szCs w:val="24"/>
        </w:rPr>
        <w:t xml:space="preserve">Scale bars, 100 </w:t>
      </w:r>
      <w:proofErr w:type="spellStart"/>
      <w:r>
        <w:rPr>
          <w:szCs w:val="24"/>
        </w:rPr>
        <w:t>μm</w:t>
      </w:r>
      <w:proofErr w:type="spellEnd"/>
      <w:r>
        <w:rPr>
          <w:szCs w:val="24"/>
        </w:rPr>
        <w:t xml:space="preserve"> (shown on each micrograph). </w:t>
      </w:r>
      <w:r>
        <w:rPr>
          <w:rFonts w:eastAsia="PMingLiU" w:cs="Times New Roman"/>
          <w:kern w:val="0"/>
          <w:szCs w:val="24"/>
        </w:rPr>
        <w:t>(</w:t>
      </w:r>
      <w:r>
        <w:rPr>
          <w:rFonts w:eastAsia="PMingLiU" w:cs="Times New Roman"/>
          <w:b/>
          <w:bCs/>
          <w:kern w:val="0"/>
          <w:szCs w:val="24"/>
        </w:rPr>
        <w:t>B</w:t>
      </w:r>
      <w:r>
        <w:rPr>
          <w:rFonts w:eastAsia="PMingLiU" w:cs="Times New Roman"/>
          <w:kern w:val="0"/>
          <w:szCs w:val="24"/>
        </w:rPr>
        <w:t xml:space="preserve">) Area-normalized hepatic macrophage density at 9, 12, and 15 </w:t>
      </w:r>
      <w:proofErr w:type="spellStart"/>
      <w:r>
        <w:rPr>
          <w:rFonts w:eastAsia="PMingLiU" w:cs="Times New Roman"/>
          <w:kern w:val="0"/>
          <w:szCs w:val="24"/>
        </w:rPr>
        <w:t>dpf</w:t>
      </w:r>
      <w:proofErr w:type="spellEnd"/>
      <w:r>
        <w:rPr>
          <w:rFonts w:eastAsia="PMingLiU" w:cs="Times New Roman"/>
          <w:kern w:val="0"/>
          <w:szCs w:val="24"/>
        </w:rPr>
        <w:t>. (</w:t>
      </w:r>
      <w:r>
        <w:rPr>
          <w:rFonts w:eastAsia="PMingLiU" w:cs="Times New Roman"/>
          <w:b/>
          <w:bCs/>
          <w:kern w:val="0"/>
          <w:szCs w:val="24"/>
        </w:rPr>
        <w:t>C</w:t>
      </w:r>
      <w:r>
        <w:rPr>
          <w:rFonts w:eastAsia="PMingLiU" w:cs="Times New Roman"/>
          <w:kern w:val="0"/>
          <w:szCs w:val="24"/>
        </w:rPr>
        <w:t xml:space="preserve">) Hepatic macrophage density at 15 </w:t>
      </w:r>
      <w:proofErr w:type="spellStart"/>
      <w:r>
        <w:rPr>
          <w:rFonts w:eastAsia="PMingLiU" w:cs="Times New Roman"/>
          <w:kern w:val="0"/>
          <w:szCs w:val="24"/>
        </w:rPr>
        <w:t>dpf</w:t>
      </w:r>
      <w:proofErr w:type="spellEnd"/>
      <w:r>
        <w:rPr>
          <w:rFonts w:eastAsia="PMingLiU" w:cs="Times New Roman"/>
          <w:kern w:val="0"/>
          <w:szCs w:val="24"/>
        </w:rPr>
        <w:t xml:space="preserve"> summarized across groups. (</w:t>
      </w:r>
      <w:r>
        <w:rPr>
          <w:rFonts w:eastAsia="PMingLiU" w:cs="Times New Roman"/>
          <w:b/>
          <w:bCs/>
          <w:kern w:val="0"/>
          <w:szCs w:val="24"/>
        </w:rPr>
        <w:t>D</w:t>
      </w:r>
      <w:r>
        <w:rPr>
          <w:rFonts w:eastAsia="PMingLiU" w:cs="Times New Roman"/>
          <w:kern w:val="0"/>
          <w:szCs w:val="24"/>
        </w:rPr>
        <w:t xml:space="preserve">) Area-normalized hepatic neutrophil density quantified at 9, 12, and 15 </w:t>
      </w:r>
      <w:proofErr w:type="spellStart"/>
      <w:r>
        <w:rPr>
          <w:rFonts w:eastAsia="PMingLiU" w:cs="Times New Roman"/>
          <w:kern w:val="0"/>
          <w:szCs w:val="24"/>
        </w:rPr>
        <w:t>dpf</w:t>
      </w:r>
      <w:proofErr w:type="spellEnd"/>
      <w:r>
        <w:rPr>
          <w:rFonts w:eastAsia="PMingLiU" w:cs="Times New Roman"/>
          <w:kern w:val="0"/>
          <w:szCs w:val="24"/>
        </w:rPr>
        <w:t>. (</w:t>
      </w:r>
      <w:r>
        <w:rPr>
          <w:rFonts w:eastAsia="PMingLiU" w:cs="Times New Roman"/>
          <w:b/>
          <w:bCs/>
          <w:kern w:val="0"/>
          <w:szCs w:val="24"/>
        </w:rPr>
        <w:t>E</w:t>
      </w:r>
      <w:r>
        <w:rPr>
          <w:rFonts w:eastAsia="PMingLiU" w:cs="Times New Roman"/>
          <w:kern w:val="0"/>
          <w:szCs w:val="24"/>
        </w:rPr>
        <w:t xml:space="preserve">) Hepatic neutrophil density at 15 </w:t>
      </w:r>
      <w:proofErr w:type="spellStart"/>
      <w:r>
        <w:rPr>
          <w:rFonts w:eastAsia="PMingLiU" w:cs="Times New Roman"/>
          <w:kern w:val="0"/>
          <w:szCs w:val="24"/>
        </w:rPr>
        <w:t>dpf</w:t>
      </w:r>
      <w:proofErr w:type="spellEnd"/>
      <w:r>
        <w:rPr>
          <w:rFonts w:eastAsia="PMingLiU" w:cs="Times New Roman"/>
          <w:kern w:val="0"/>
          <w:szCs w:val="24"/>
        </w:rPr>
        <w:t xml:space="preserve"> summarized across groups. Immune-cell density was quantified within a predefined liver ROI and normalized to liver area (see Methods). Sample sizes are indicated in the figures as dots. Data are shown as mean ± SD. Statistical tests are described in Methods; *</w:t>
      </w:r>
      <w:r>
        <w:rPr>
          <w:rFonts w:eastAsia="宋体" w:cs="Times New Roman" w:hint="eastAsia"/>
          <w:i/>
          <w:iCs/>
          <w:kern w:val="0"/>
          <w:szCs w:val="24"/>
          <w:lang w:eastAsia="zh-CN"/>
        </w:rPr>
        <w:t>p</w:t>
      </w:r>
      <w:r>
        <w:rPr>
          <w:rFonts w:eastAsia="PMingLiU" w:cs="Times New Roman"/>
          <w:kern w:val="0"/>
          <w:szCs w:val="24"/>
        </w:rPr>
        <w:t xml:space="preserve"> &lt; 0.05, **</w:t>
      </w:r>
      <w:r>
        <w:rPr>
          <w:rFonts w:eastAsia="宋体" w:cs="Times New Roman" w:hint="eastAsia"/>
          <w:i/>
          <w:iCs/>
          <w:kern w:val="0"/>
          <w:szCs w:val="24"/>
          <w:lang w:eastAsia="zh-CN"/>
        </w:rPr>
        <w:t>p</w:t>
      </w:r>
      <w:r>
        <w:rPr>
          <w:rFonts w:eastAsia="PMingLiU" w:cs="Times New Roman"/>
          <w:kern w:val="0"/>
          <w:szCs w:val="24"/>
        </w:rPr>
        <w:t xml:space="preserve"> &lt; 0.01, ****</w:t>
      </w:r>
      <w:r>
        <w:rPr>
          <w:rFonts w:eastAsia="宋体" w:cs="Times New Roman" w:hint="eastAsia"/>
          <w:i/>
          <w:iCs/>
          <w:kern w:val="0"/>
          <w:szCs w:val="24"/>
          <w:lang w:eastAsia="zh-CN"/>
        </w:rPr>
        <w:t>p</w:t>
      </w:r>
      <w:r>
        <w:rPr>
          <w:rFonts w:eastAsia="PMingLiU" w:cs="Times New Roman"/>
          <w:kern w:val="0"/>
          <w:szCs w:val="24"/>
        </w:rPr>
        <w:t xml:space="preserve"> &lt; 0.0001</w:t>
      </w:r>
      <w:r>
        <w:rPr>
          <w:szCs w:val="24"/>
        </w:rPr>
        <w:t>; ns, not significant</w:t>
      </w:r>
      <w:r>
        <w:rPr>
          <w:rFonts w:eastAsia="PMingLiU" w:cs="Times New Roman"/>
          <w:kern w:val="0"/>
          <w:szCs w:val="24"/>
        </w:rPr>
        <w:t>).</w:t>
      </w:r>
    </w:p>
    <w:p w14:paraId="1BA5FEF3" w14:textId="77777777" w:rsidR="007C722A" w:rsidRDefault="000F107F" w:rsidP="007C722A">
      <w:pPr>
        <w:pStyle w:val="TSP52figure"/>
        <w:rPr>
          <w:rFonts w:eastAsiaTheme="minorEastAsia"/>
          <w:sz w:val="24"/>
        </w:rPr>
      </w:pPr>
      <w:r>
        <w:rPr>
          <w:rFonts w:eastAsia="PMingLiU"/>
          <w:noProof/>
        </w:rPr>
        <w:lastRenderedPageBreak/>
        <w:drawing>
          <wp:inline distT="0" distB="0" distL="0" distR="0" wp14:anchorId="5861094B" wp14:editId="73FAD094">
            <wp:extent cx="5371465" cy="3582670"/>
            <wp:effectExtent l="0" t="0" r="635"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圖片 4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71465" cy="3582670"/>
                    </a:xfrm>
                    <a:prstGeom prst="rect">
                      <a:avLst/>
                    </a:prstGeom>
                  </pic:spPr>
                </pic:pic>
              </a:graphicData>
            </a:graphic>
          </wp:inline>
        </w:drawing>
      </w:r>
    </w:p>
    <w:p w14:paraId="2E6141A5" w14:textId="73040697" w:rsidR="000F107F" w:rsidRDefault="000F107F" w:rsidP="007C722A">
      <w:pPr>
        <w:pStyle w:val="Caption"/>
        <w:spacing w:afterLines="20" w:after="72" w:line="320" w:lineRule="exact"/>
        <w:rPr>
          <w:rFonts w:eastAsiaTheme="minorEastAsia" w:cs="Times New Roman"/>
          <w:b/>
          <w:szCs w:val="24"/>
        </w:rPr>
      </w:pPr>
      <w:r>
        <w:rPr>
          <w:rFonts w:eastAsiaTheme="minorEastAsia" w:cs="Times New Roman"/>
          <w:b/>
          <w:sz w:val="24"/>
          <w:szCs w:val="24"/>
        </w:rPr>
        <w:t>Figure S7. PRS-OPT modeling nominates PMR doses that minimize hepatic macrophage accumulation in MASLD-HCC zebrafish.</w:t>
      </w:r>
      <w:r>
        <w:rPr>
          <w:rFonts w:eastAsia="宋体" w:cs="Times New Roman" w:hint="eastAsia"/>
          <w:b/>
          <w:sz w:val="24"/>
          <w:szCs w:val="24"/>
          <w:lang w:eastAsia="zh-CN"/>
        </w:rPr>
        <w:t xml:space="preserve"> </w:t>
      </w:r>
      <w:r>
        <w:rPr>
          <w:rFonts w:eastAsiaTheme="minorEastAsia" w:cs="Times New Roman"/>
          <w:sz w:val="24"/>
          <w:szCs w:val="24"/>
        </w:rPr>
        <w:t>(</w:t>
      </w:r>
      <w:r>
        <w:rPr>
          <w:rFonts w:eastAsiaTheme="minorEastAsia" w:cs="Times New Roman"/>
          <w:b/>
          <w:bCs/>
          <w:sz w:val="24"/>
          <w:szCs w:val="24"/>
        </w:rPr>
        <w:t>A</w:t>
      </w:r>
      <w:r>
        <w:rPr>
          <w:rFonts w:eastAsiaTheme="minorEastAsia" w:cs="Times New Roman"/>
          <w:sz w:val="24"/>
          <w:szCs w:val="24"/>
        </w:rPr>
        <w:t xml:space="preserve">) Phenotypic response surfaces fitted to macrophage accumulation in </w:t>
      </w:r>
      <w:proofErr w:type="spellStart"/>
      <w:proofErr w:type="gramStart"/>
      <w:r>
        <w:rPr>
          <w:rFonts w:eastAsiaTheme="minorEastAsia" w:cs="Times New Roman"/>
          <w:sz w:val="24"/>
          <w:szCs w:val="24"/>
        </w:rPr>
        <w:t>Tg</w:t>
      </w:r>
      <w:proofErr w:type="spellEnd"/>
      <w:r>
        <w:rPr>
          <w:rFonts w:eastAsiaTheme="minorEastAsia" w:cs="Times New Roman"/>
          <w:sz w:val="24"/>
          <w:szCs w:val="24"/>
        </w:rPr>
        <w:t>(</w:t>
      </w:r>
      <w:proofErr w:type="spellStart"/>
      <w:r>
        <w:rPr>
          <w:rFonts w:eastAsiaTheme="minorEastAsia" w:cs="Times New Roman"/>
          <w:i/>
          <w:iCs/>
          <w:sz w:val="24"/>
          <w:szCs w:val="24"/>
        </w:rPr>
        <w:t>mpeg:mCherry</w:t>
      </w:r>
      <w:proofErr w:type="spellEnd"/>
      <w:proofErr w:type="gramEnd"/>
      <w:r>
        <w:rPr>
          <w:rFonts w:eastAsiaTheme="minorEastAsia" w:cs="Times New Roman"/>
          <w:sz w:val="24"/>
          <w:szCs w:val="24"/>
        </w:rPr>
        <w:t xml:space="preserve">; </w:t>
      </w:r>
      <w:proofErr w:type="spellStart"/>
      <w:proofErr w:type="gramStart"/>
      <w:r>
        <w:rPr>
          <w:rFonts w:eastAsiaTheme="minorEastAsia" w:cs="Times New Roman"/>
          <w:i/>
          <w:iCs/>
          <w:sz w:val="24"/>
          <w:szCs w:val="24"/>
        </w:rPr>
        <w:t>mpx:EGFP</w:t>
      </w:r>
      <w:proofErr w:type="spellEnd"/>
      <w:proofErr w:type="gramEnd"/>
      <w:r>
        <w:rPr>
          <w:rFonts w:eastAsiaTheme="minorEastAsia" w:cs="Times New Roman"/>
          <w:sz w:val="24"/>
          <w:szCs w:val="24"/>
        </w:rPr>
        <w:t xml:space="preserve">; </w:t>
      </w:r>
      <w:r>
        <w:rPr>
          <w:rFonts w:eastAsiaTheme="minorEastAsia" w:cs="Times New Roman"/>
          <w:i/>
          <w:iCs/>
          <w:sz w:val="24"/>
          <w:szCs w:val="24"/>
        </w:rPr>
        <w:t>fabp10a:CD36</w:t>
      </w:r>
      <w:r>
        <w:rPr>
          <w:rFonts w:eastAsiaTheme="minorEastAsia" w:cs="Times New Roman"/>
          <w:sz w:val="24"/>
          <w:szCs w:val="24"/>
        </w:rPr>
        <w:t xml:space="preserve">; </w:t>
      </w:r>
      <w:r>
        <w:rPr>
          <w:rFonts w:eastAsiaTheme="minorEastAsia" w:cs="Times New Roman"/>
          <w:i/>
          <w:iCs/>
          <w:sz w:val="24"/>
          <w:szCs w:val="24"/>
        </w:rPr>
        <w:t>myl</w:t>
      </w:r>
      <w:proofErr w:type="gramStart"/>
      <w:r>
        <w:rPr>
          <w:rFonts w:eastAsiaTheme="minorEastAsia" w:cs="Times New Roman"/>
          <w:i/>
          <w:iCs/>
          <w:sz w:val="24"/>
          <w:szCs w:val="24"/>
        </w:rPr>
        <w:t>7:EGFP</w:t>
      </w:r>
      <w:proofErr w:type="gramEnd"/>
      <w:r>
        <w:rPr>
          <w:rFonts w:eastAsiaTheme="minorEastAsia" w:cs="Times New Roman"/>
          <w:sz w:val="24"/>
          <w:szCs w:val="24"/>
        </w:rPr>
        <w:t xml:space="preserve">); </w:t>
      </w:r>
      <w:r>
        <w:rPr>
          <w:rFonts w:eastAsiaTheme="minorEastAsia" w:cs="Times New Roman"/>
          <w:i/>
          <w:iCs/>
          <w:sz w:val="24"/>
          <w:szCs w:val="24"/>
        </w:rPr>
        <w:t>abcg1(KO1)</w:t>
      </w:r>
      <w:r>
        <w:rPr>
          <w:rFonts w:eastAsiaTheme="minorEastAsia" w:cs="Times New Roman"/>
          <w:sz w:val="24"/>
          <w:szCs w:val="24"/>
        </w:rPr>
        <w:t xml:space="preserve"> larvae. The modeled outcome was the area-normalized hepatic macrophage density ratio, calculated as macrophage density at 15 </w:t>
      </w:r>
      <w:proofErr w:type="spellStart"/>
      <w:r>
        <w:rPr>
          <w:rFonts w:eastAsiaTheme="minorEastAsia" w:cs="Times New Roman"/>
          <w:sz w:val="24"/>
          <w:szCs w:val="24"/>
        </w:rPr>
        <w:t>dpf</w:t>
      </w:r>
      <w:proofErr w:type="spellEnd"/>
      <w:r>
        <w:rPr>
          <w:rFonts w:eastAsiaTheme="minorEastAsia" w:cs="Times New Roman"/>
          <w:sz w:val="24"/>
          <w:szCs w:val="24"/>
        </w:rPr>
        <w:t xml:space="preserve"> relative to 9 </w:t>
      </w:r>
      <w:proofErr w:type="spellStart"/>
      <w:r>
        <w:rPr>
          <w:rFonts w:eastAsiaTheme="minorEastAsia" w:cs="Times New Roman"/>
          <w:sz w:val="24"/>
          <w:szCs w:val="24"/>
        </w:rPr>
        <w:t>dpf</w:t>
      </w:r>
      <w:proofErr w:type="spellEnd"/>
      <w:r>
        <w:rPr>
          <w:rFonts w:eastAsiaTheme="minorEastAsia" w:cs="Times New Roman"/>
          <w:sz w:val="24"/>
          <w:szCs w:val="24"/>
        </w:rPr>
        <w:t xml:space="preserve"> (15/9); where indicated, the 12/9 ratio was also modeled. Surfaces are displayed at fixed propolis dilutions across the tested metformin–regorafenib dose space. Red points indicate experimental design points used for model fitting. (</w:t>
      </w:r>
      <w:r>
        <w:rPr>
          <w:rFonts w:eastAsiaTheme="minorEastAsia" w:cs="Times New Roman"/>
          <w:b/>
          <w:bCs/>
          <w:sz w:val="24"/>
          <w:szCs w:val="24"/>
        </w:rPr>
        <w:t>B</w:t>
      </w:r>
      <w:r>
        <w:rPr>
          <w:rFonts w:eastAsiaTheme="minorEastAsia" w:cs="Times New Roman"/>
          <w:sz w:val="24"/>
          <w:szCs w:val="24"/>
        </w:rPr>
        <w:t>) Model performance shown by observed versus predicted macrophage density ratios (summary bar plot and scatter plot). The PRS-OPT–nominated PMR dose combination and its corresponding predicted macrophage-density ratio(s) are shown at right.</w:t>
      </w:r>
    </w:p>
    <w:p w14:paraId="13E4F948" w14:textId="77777777" w:rsidR="007C722A" w:rsidRDefault="000F107F" w:rsidP="007C722A">
      <w:pPr>
        <w:pStyle w:val="TSP52figure"/>
      </w:pPr>
      <w:r>
        <w:rPr>
          <w:rFonts w:eastAsiaTheme="minorEastAsia"/>
          <w:noProof/>
        </w:rPr>
        <w:lastRenderedPageBreak/>
        <w:drawing>
          <wp:inline distT="0" distB="0" distL="0" distR="0" wp14:anchorId="4928BA76" wp14:editId="298A3EED">
            <wp:extent cx="5371465" cy="5198110"/>
            <wp:effectExtent l="0" t="0" r="635" b="254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圖片 5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71465" cy="5198110"/>
                    </a:xfrm>
                    <a:prstGeom prst="rect">
                      <a:avLst/>
                    </a:prstGeom>
                  </pic:spPr>
                </pic:pic>
              </a:graphicData>
            </a:graphic>
          </wp:inline>
        </w:drawing>
      </w:r>
    </w:p>
    <w:p w14:paraId="3DAC6BFD" w14:textId="64C61542" w:rsidR="000F107F" w:rsidRDefault="000F107F" w:rsidP="007C722A">
      <w:pPr>
        <w:spacing w:afterLines="20" w:after="72" w:line="320" w:lineRule="exact"/>
        <w:rPr>
          <w:rFonts w:cs="Times New Roman"/>
          <w:szCs w:val="24"/>
        </w:rPr>
      </w:pPr>
      <w:r>
        <w:rPr>
          <w:rFonts w:cs="Times New Roman"/>
          <w:b/>
          <w:szCs w:val="24"/>
        </w:rPr>
        <w:t xml:space="preserve">Figure S8. PMR does not measurably alter hepatic neutrophil infiltration in zebrafish HCC models. </w:t>
      </w:r>
      <w:r>
        <w:rPr>
          <w:rFonts w:cs="Times New Roman"/>
          <w:szCs w:val="24"/>
        </w:rPr>
        <w:t>(</w:t>
      </w:r>
      <w:r>
        <w:rPr>
          <w:rFonts w:cs="Times New Roman"/>
          <w:b/>
          <w:bCs/>
          <w:szCs w:val="24"/>
        </w:rPr>
        <w:t>A</w:t>
      </w:r>
      <w:r>
        <w:rPr>
          <w:rFonts w:cs="Times New Roman"/>
          <w:szCs w:val="24"/>
        </w:rPr>
        <w:t xml:space="preserve">) Area-normalized hepatic neutrophil density quantified at 9 and 15 </w:t>
      </w:r>
      <w:proofErr w:type="spellStart"/>
      <w:r>
        <w:rPr>
          <w:rFonts w:cs="Times New Roman"/>
          <w:szCs w:val="24"/>
        </w:rPr>
        <w:t>dpf</w:t>
      </w:r>
      <w:proofErr w:type="spellEnd"/>
      <w:r>
        <w:rPr>
          <w:rFonts w:cs="Times New Roman"/>
          <w:szCs w:val="24"/>
        </w:rPr>
        <w:t xml:space="preserve"> in WT, MASLD-HCC</w:t>
      </w:r>
      <w:r>
        <w:rPr>
          <w:rFonts w:cs="Times New Roman"/>
          <w:i/>
          <w:iCs/>
          <w:szCs w:val="24"/>
        </w:rPr>
        <w:t xml:space="preserve"> </w:t>
      </w:r>
      <w:proofErr w:type="spellStart"/>
      <w:proofErr w:type="gramStart"/>
      <w:r>
        <w:rPr>
          <w:rFonts w:cs="Times New Roman"/>
          <w:i/>
          <w:iCs/>
          <w:szCs w:val="24"/>
        </w:rPr>
        <w:t>Tg</w:t>
      </w:r>
      <w:proofErr w:type="spellEnd"/>
      <w:r>
        <w:rPr>
          <w:rFonts w:cs="Times New Roman"/>
          <w:i/>
          <w:iCs/>
          <w:szCs w:val="24"/>
        </w:rPr>
        <w:t>(</w:t>
      </w:r>
      <w:proofErr w:type="spellStart"/>
      <w:r>
        <w:rPr>
          <w:rFonts w:cs="Times New Roman"/>
          <w:i/>
          <w:iCs/>
          <w:szCs w:val="24"/>
        </w:rPr>
        <w:t>mpeg:mCherry</w:t>
      </w:r>
      <w:proofErr w:type="spellEnd"/>
      <w:proofErr w:type="gramEnd"/>
      <w:r>
        <w:rPr>
          <w:rFonts w:cs="Times New Roman"/>
          <w:i/>
          <w:iCs/>
          <w:szCs w:val="24"/>
        </w:rPr>
        <w:t xml:space="preserve">; </w:t>
      </w:r>
      <w:proofErr w:type="spellStart"/>
      <w:proofErr w:type="gramStart"/>
      <w:r>
        <w:rPr>
          <w:rFonts w:cs="Times New Roman"/>
          <w:i/>
          <w:iCs/>
          <w:szCs w:val="24"/>
        </w:rPr>
        <w:t>mpx:EGFP</w:t>
      </w:r>
      <w:proofErr w:type="spellEnd"/>
      <w:proofErr w:type="gramEnd"/>
      <w:r>
        <w:rPr>
          <w:rFonts w:cs="Times New Roman"/>
          <w:i/>
          <w:iCs/>
          <w:szCs w:val="24"/>
        </w:rPr>
        <w:t>; fabp10a:CD36; myl</w:t>
      </w:r>
      <w:proofErr w:type="gramStart"/>
      <w:r>
        <w:rPr>
          <w:rFonts w:cs="Times New Roman"/>
          <w:i/>
          <w:iCs/>
          <w:szCs w:val="24"/>
        </w:rPr>
        <w:t>7:EGFP</w:t>
      </w:r>
      <w:proofErr w:type="gramEnd"/>
      <w:r>
        <w:rPr>
          <w:rFonts w:cs="Times New Roman"/>
          <w:i/>
          <w:iCs/>
          <w:szCs w:val="24"/>
        </w:rPr>
        <w:t>); abcg1(KO1)</w:t>
      </w:r>
      <w:r>
        <w:rPr>
          <w:rFonts w:cs="Times New Roman"/>
          <w:szCs w:val="24"/>
        </w:rPr>
        <w:t xml:space="preserve">, and </w:t>
      </w:r>
      <w:proofErr w:type="spellStart"/>
      <w:proofErr w:type="gramStart"/>
      <w:r>
        <w:rPr>
          <w:rFonts w:cs="Times New Roman"/>
          <w:i/>
          <w:iCs/>
          <w:szCs w:val="24"/>
        </w:rPr>
        <w:t>Tg</w:t>
      </w:r>
      <w:proofErr w:type="spellEnd"/>
      <w:r>
        <w:rPr>
          <w:rFonts w:cs="Times New Roman"/>
          <w:i/>
          <w:iCs/>
          <w:szCs w:val="24"/>
        </w:rPr>
        <w:t>(</w:t>
      </w:r>
      <w:proofErr w:type="spellStart"/>
      <w:r>
        <w:rPr>
          <w:rFonts w:cs="Times New Roman"/>
          <w:i/>
          <w:iCs/>
          <w:szCs w:val="24"/>
        </w:rPr>
        <w:t>mpeg:mCherry</w:t>
      </w:r>
      <w:proofErr w:type="spellEnd"/>
      <w:proofErr w:type="gramEnd"/>
      <w:r>
        <w:rPr>
          <w:rFonts w:cs="Times New Roman"/>
          <w:i/>
          <w:iCs/>
          <w:szCs w:val="24"/>
        </w:rPr>
        <w:t xml:space="preserve">; </w:t>
      </w:r>
      <w:proofErr w:type="spellStart"/>
      <w:proofErr w:type="gramStart"/>
      <w:r>
        <w:rPr>
          <w:rFonts w:cs="Times New Roman"/>
          <w:i/>
          <w:iCs/>
          <w:szCs w:val="24"/>
        </w:rPr>
        <w:t>mpx:EGFP</w:t>
      </w:r>
      <w:proofErr w:type="spellEnd"/>
      <w:proofErr w:type="gramEnd"/>
      <w:r>
        <w:rPr>
          <w:rFonts w:cs="Times New Roman"/>
          <w:i/>
          <w:iCs/>
          <w:szCs w:val="24"/>
        </w:rPr>
        <w:t>; fabp10</w:t>
      </w:r>
      <w:proofErr w:type="gramStart"/>
      <w:r>
        <w:rPr>
          <w:rFonts w:cs="Times New Roman"/>
          <w:i/>
          <w:iCs/>
          <w:szCs w:val="24"/>
        </w:rPr>
        <w:t>a:tert</w:t>
      </w:r>
      <w:proofErr w:type="gramEnd"/>
      <w:r>
        <w:rPr>
          <w:rFonts w:cs="Times New Roman"/>
          <w:i/>
          <w:iCs/>
          <w:szCs w:val="24"/>
        </w:rPr>
        <w:t>; myl</w:t>
      </w:r>
      <w:proofErr w:type="gramStart"/>
      <w:r>
        <w:rPr>
          <w:rFonts w:cs="Times New Roman"/>
          <w:i/>
          <w:iCs/>
          <w:szCs w:val="24"/>
        </w:rPr>
        <w:t>7:EGFP</w:t>
      </w:r>
      <w:proofErr w:type="gramEnd"/>
      <w:r>
        <w:rPr>
          <w:rFonts w:cs="Times New Roman"/>
          <w:i/>
          <w:iCs/>
          <w:szCs w:val="24"/>
        </w:rPr>
        <w:t>)</w:t>
      </w:r>
      <w:r>
        <w:rPr>
          <w:rFonts w:cs="Times New Roman"/>
          <w:szCs w:val="24"/>
        </w:rPr>
        <w:t xml:space="preserve"> larvae, with or without PRS-OPT–nominated PMR treatment. Neutrophils were quantified within a predefined liver ROI and normalized to liver area (see Methods). (</w:t>
      </w:r>
      <w:r>
        <w:rPr>
          <w:rFonts w:cs="Times New Roman"/>
          <w:b/>
          <w:bCs/>
          <w:szCs w:val="24"/>
        </w:rPr>
        <w:t>B</w:t>
      </w:r>
      <w:r>
        <w:rPr>
          <w:rFonts w:cs="Times New Roman"/>
          <w:szCs w:val="24"/>
        </w:rPr>
        <w:t xml:space="preserve">) Neutrophil infiltration dynamics summarized as the 15 </w:t>
      </w:r>
      <w:proofErr w:type="spellStart"/>
      <w:r>
        <w:rPr>
          <w:rFonts w:cs="Times New Roman"/>
          <w:szCs w:val="24"/>
        </w:rPr>
        <w:t>dpf</w:t>
      </w:r>
      <w:proofErr w:type="spellEnd"/>
      <w:r>
        <w:rPr>
          <w:rFonts w:cs="Times New Roman"/>
          <w:szCs w:val="24"/>
        </w:rPr>
        <w:t xml:space="preserve">/9 </w:t>
      </w:r>
      <w:proofErr w:type="spellStart"/>
      <w:r>
        <w:rPr>
          <w:rFonts w:cs="Times New Roman"/>
          <w:szCs w:val="24"/>
        </w:rPr>
        <w:t>dpf</w:t>
      </w:r>
      <w:proofErr w:type="spellEnd"/>
      <w:r>
        <w:rPr>
          <w:rFonts w:cs="Times New Roman"/>
          <w:szCs w:val="24"/>
        </w:rPr>
        <w:t xml:space="preserve"> area-normalized neutrophil-density ratio. Points represent individual larvae; bar show </w:t>
      </w:r>
      <w:proofErr w:type="gramStart"/>
      <w:r>
        <w:rPr>
          <w:rFonts w:cs="Times New Roman"/>
          <w:szCs w:val="24"/>
        </w:rPr>
        <w:t>mean ±</w:t>
      </w:r>
      <w:proofErr w:type="gramEnd"/>
      <w:r>
        <w:rPr>
          <w:rFonts w:cs="Times New Roman"/>
          <w:szCs w:val="24"/>
        </w:rPr>
        <w:t xml:space="preserve"> SD. Statistical comparisons are indicated on the plots (ns, not significant; tests as described in Methods).</w:t>
      </w:r>
    </w:p>
    <w:p w14:paraId="7B297DC7" w14:textId="77777777" w:rsidR="007C722A" w:rsidRDefault="000F107F" w:rsidP="007C722A">
      <w:pPr>
        <w:pStyle w:val="TSP52figure"/>
      </w:pPr>
      <w:r>
        <w:rPr>
          <w:rFonts w:eastAsiaTheme="minorEastAsia"/>
          <w:noProof/>
        </w:rPr>
        <w:drawing>
          <wp:inline distT="0" distB="0" distL="0" distR="0" wp14:anchorId="4476920A" wp14:editId="0CF6063D">
            <wp:extent cx="5371465" cy="1951355"/>
            <wp:effectExtent l="0" t="0" r="635"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圖片 51"/>
                    <pic:cNvPicPr>
                      <a:picLocks noChangeAspect="1"/>
                    </pic:cNvPicPr>
                  </pic:nvPicPr>
                  <pic:blipFill>
                    <a:blip r:embed="rId15" cstate="print">
                      <a:extLst>
                        <a:ext uri="{28A0092B-C50C-407E-A947-70E740481C1C}">
                          <a14:useLocalDpi xmlns:a14="http://schemas.microsoft.com/office/drawing/2010/main" val="0"/>
                        </a:ext>
                      </a:extLst>
                    </a:blip>
                    <a:srcRect b="19617"/>
                    <a:stretch>
                      <a:fillRect/>
                    </a:stretch>
                  </pic:blipFill>
                  <pic:spPr>
                    <a:xfrm>
                      <a:off x="0" y="0"/>
                      <a:ext cx="5371465" cy="1951355"/>
                    </a:xfrm>
                    <a:prstGeom prst="rect">
                      <a:avLst/>
                    </a:prstGeom>
                    <a:ln>
                      <a:noFill/>
                    </a:ln>
                  </pic:spPr>
                </pic:pic>
              </a:graphicData>
            </a:graphic>
          </wp:inline>
        </w:drawing>
      </w:r>
    </w:p>
    <w:p w14:paraId="1AB7ABE5" w14:textId="555A1020" w:rsidR="000F107F" w:rsidRDefault="000F107F" w:rsidP="000F107F">
      <w:pPr>
        <w:spacing w:afterLines="20" w:after="72" w:line="320" w:lineRule="exact"/>
        <w:rPr>
          <w:rFonts w:cs="Times New Roman"/>
          <w:szCs w:val="24"/>
        </w:rPr>
      </w:pPr>
      <w:r>
        <w:rPr>
          <w:rFonts w:cs="Times New Roman"/>
          <w:b/>
          <w:szCs w:val="24"/>
        </w:rPr>
        <w:t>Figure S9. PMR dose series is associated with reduced expression of cell-cycle genes in the MASLD-HCC zebrafish model.</w:t>
      </w:r>
      <w:r>
        <w:rPr>
          <w:rFonts w:eastAsia="等线" w:cs="Times New Roman" w:hint="eastAsia"/>
          <w:b/>
          <w:szCs w:val="24"/>
          <w:lang w:eastAsia="zh-CN"/>
        </w:rPr>
        <w:t xml:space="preserve"> </w:t>
      </w:r>
      <w:r>
        <w:rPr>
          <w:rFonts w:cs="Times New Roman"/>
          <w:szCs w:val="24"/>
        </w:rPr>
        <w:t>(</w:t>
      </w:r>
      <w:r>
        <w:rPr>
          <w:rFonts w:cs="Times New Roman"/>
          <w:b/>
          <w:szCs w:val="24"/>
        </w:rPr>
        <w:t>A–C</w:t>
      </w:r>
      <w:r>
        <w:rPr>
          <w:rFonts w:cs="Times New Roman"/>
          <w:szCs w:val="24"/>
        </w:rPr>
        <w:t xml:space="preserve">) Relative mRNA expression of </w:t>
      </w:r>
      <w:r>
        <w:rPr>
          <w:rFonts w:cs="Times New Roman"/>
          <w:i/>
          <w:szCs w:val="24"/>
        </w:rPr>
        <w:t>ccne1</w:t>
      </w:r>
      <w:r>
        <w:rPr>
          <w:rFonts w:cs="Times New Roman"/>
          <w:szCs w:val="24"/>
        </w:rPr>
        <w:t xml:space="preserve"> (A), </w:t>
      </w:r>
      <w:r>
        <w:rPr>
          <w:rFonts w:cs="Times New Roman"/>
          <w:i/>
          <w:szCs w:val="24"/>
        </w:rPr>
        <w:t>cdk1</w:t>
      </w:r>
      <w:r>
        <w:rPr>
          <w:rFonts w:cs="Times New Roman"/>
          <w:szCs w:val="24"/>
        </w:rPr>
        <w:t xml:space="preserve"> (B), and </w:t>
      </w:r>
      <w:r>
        <w:rPr>
          <w:rFonts w:cs="Times New Roman"/>
          <w:i/>
          <w:szCs w:val="24"/>
        </w:rPr>
        <w:t>cdk2</w:t>
      </w:r>
      <w:r>
        <w:rPr>
          <w:rFonts w:cs="Times New Roman"/>
          <w:szCs w:val="24"/>
        </w:rPr>
        <w:t xml:space="preserve"> (C) in CD36*abcg1(KO1) larvae treated with PMR at three dose levels: PMR(L) (propolis 0.1×10⁻⁵, metformin 6 </w:t>
      </w:r>
      <w:proofErr w:type="spellStart"/>
      <w:r>
        <w:rPr>
          <w:rFonts w:cs="Times New Roman"/>
          <w:szCs w:val="24"/>
        </w:rPr>
        <w:t>μM</w:t>
      </w:r>
      <w:proofErr w:type="spellEnd"/>
      <w:r>
        <w:rPr>
          <w:rFonts w:cs="Times New Roman"/>
          <w:szCs w:val="24"/>
        </w:rPr>
        <w:t xml:space="preserve">, regorafenib 7 </w:t>
      </w:r>
      <w:proofErr w:type="spellStart"/>
      <w:r>
        <w:rPr>
          <w:rFonts w:cs="Times New Roman"/>
          <w:szCs w:val="24"/>
        </w:rPr>
        <w:lastRenderedPageBreak/>
        <w:t>nM</w:t>
      </w:r>
      <w:proofErr w:type="spellEnd"/>
      <w:r>
        <w:rPr>
          <w:rFonts w:cs="Times New Roman"/>
          <w:szCs w:val="24"/>
        </w:rPr>
        <w:t xml:space="preserve">), PMR(M) (propolis 0.3×10⁻⁵, metformin 18 </w:t>
      </w:r>
      <w:proofErr w:type="spellStart"/>
      <w:r>
        <w:rPr>
          <w:rFonts w:cs="Times New Roman"/>
          <w:szCs w:val="24"/>
        </w:rPr>
        <w:t>μM</w:t>
      </w:r>
      <w:proofErr w:type="spellEnd"/>
      <w:r>
        <w:rPr>
          <w:rFonts w:cs="Times New Roman"/>
          <w:szCs w:val="24"/>
        </w:rPr>
        <w:t xml:space="preserve">, regorafenib 21 </w:t>
      </w:r>
      <w:proofErr w:type="spellStart"/>
      <w:r>
        <w:rPr>
          <w:rFonts w:cs="Times New Roman"/>
          <w:szCs w:val="24"/>
        </w:rPr>
        <w:t>nM</w:t>
      </w:r>
      <w:proofErr w:type="spellEnd"/>
      <w:r>
        <w:rPr>
          <w:rFonts w:cs="Times New Roman"/>
          <w:szCs w:val="24"/>
        </w:rPr>
        <w:t xml:space="preserve">), and PMR(H) (propolis 1×10⁻⁵, metformin 54 </w:t>
      </w:r>
      <w:proofErr w:type="spellStart"/>
      <w:r>
        <w:rPr>
          <w:rFonts w:cs="Times New Roman"/>
          <w:szCs w:val="24"/>
        </w:rPr>
        <w:t>μM</w:t>
      </w:r>
      <w:proofErr w:type="spellEnd"/>
      <w:r>
        <w:rPr>
          <w:rFonts w:cs="Times New Roman"/>
          <w:szCs w:val="24"/>
        </w:rPr>
        <w:t xml:space="preserve">, regorafenib 63 </w:t>
      </w:r>
      <w:proofErr w:type="spellStart"/>
      <w:r>
        <w:rPr>
          <w:rFonts w:cs="Times New Roman"/>
          <w:szCs w:val="24"/>
        </w:rPr>
        <w:t>nM</w:t>
      </w:r>
      <w:proofErr w:type="spellEnd"/>
      <w:r>
        <w:rPr>
          <w:rFonts w:cs="Times New Roman"/>
          <w:szCs w:val="24"/>
        </w:rPr>
        <w:t>). Expression was quantified by qPCR and plotted relative to the indicated control groups (WT and untreated CD36*abcg1(KO1) without PMR). Individual larvae are shown with bars indicating mean ± SD; statistical comparisons are annotated in the plots (*</w:t>
      </w:r>
      <w:r>
        <w:rPr>
          <w:rFonts w:eastAsia="宋体" w:cs="Times New Roman" w:hint="eastAsia"/>
          <w:i/>
          <w:iCs/>
          <w:szCs w:val="24"/>
          <w:lang w:eastAsia="zh-CN"/>
        </w:rPr>
        <w:t>p</w:t>
      </w:r>
      <w:r>
        <w:rPr>
          <w:rFonts w:cs="Times New Roman"/>
          <w:szCs w:val="24"/>
        </w:rPr>
        <w:t>&lt;0.05; **</w:t>
      </w:r>
      <w:r>
        <w:rPr>
          <w:rFonts w:eastAsia="宋体" w:cs="Times New Roman" w:hint="eastAsia"/>
          <w:i/>
          <w:iCs/>
          <w:szCs w:val="24"/>
          <w:lang w:eastAsia="zh-CN"/>
        </w:rPr>
        <w:t>p</w:t>
      </w:r>
      <w:r>
        <w:rPr>
          <w:rFonts w:cs="Times New Roman"/>
          <w:szCs w:val="24"/>
        </w:rPr>
        <w:t>&lt;</w:t>
      </w:r>
      <w:proofErr w:type="gramStart"/>
      <w:r>
        <w:rPr>
          <w:rFonts w:cs="Times New Roman"/>
          <w:szCs w:val="24"/>
        </w:rPr>
        <w:t>0.01; *</w:t>
      </w:r>
      <w:proofErr w:type="gramEnd"/>
      <w:r>
        <w:rPr>
          <w:rFonts w:cs="Times New Roman"/>
          <w:szCs w:val="24"/>
        </w:rPr>
        <w:t>***</w:t>
      </w:r>
      <w:r>
        <w:rPr>
          <w:rFonts w:eastAsia="宋体" w:cs="Times New Roman" w:hint="eastAsia"/>
          <w:i/>
          <w:iCs/>
          <w:szCs w:val="24"/>
          <w:lang w:eastAsia="zh-CN"/>
        </w:rPr>
        <w:t>p</w:t>
      </w:r>
      <w:r>
        <w:rPr>
          <w:rFonts w:cs="Times New Roman"/>
          <w:szCs w:val="24"/>
        </w:rPr>
        <w:t>&lt;0.0001</w:t>
      </w:r>
      <w:r>
        <w:rPr>
          <w:szCs w:val="24"/>
        </w:rPr>
        <w:t>; ns, not significant</w:t>
      </w:r>
      <w:r>
        <w:rPr>
          <w:rFonts w:cs="Times New Roman"/>
          <w:szCs w:val="24"/>
        </w:rPr>
        <w:t>).</w:t>
      </w:r>
    </w:p>
    <w:p w14:paraId="69330F6B" w14:textId="6C6B8C3E" w:rsidR="000E675A" w:rsidRDefault="007C722A" w:rsidP="007C722A">
      <w:pPr>
        <w:pStyle w:val="TSP52figure"/>
      </w:pPr>
      <w:r>
        <w:rPr>
          <w:noProof/>
        </w:rPr>
        <w:lastRenderedPageBreak/>
        <w:drawing>
          <wp:inline distT="0" distB="0" distL="0" distR="0" wp14:anchorId="74F0254D" wp14:editId="3CE80BE7">
            <wp:extent cx="5121842" cy="9360000"/>
            <wp:effectExtent l="0" t="0" r="3175" b="0"/>
            <wp:docPr id="1887792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79207" name="Picture 2"/>
                    <pic:cNvPicPr/>
                  </pic:nvPicPr>
                  <pic:blipFill>
                    <a:blip r:embed="rId16">
                      <a:extLst>
                        <a:ext uri="{28A0092B-C50C-407E-A947-70E740481C1C}">
                          <a14:useLocalDpi xmlns:a14="http://schemas.microsoft.com/office/drawing/2010/main" val="0"/>
                        </a:ext>
                      </a:extLst>
                    </a:blip>
                    <a:stretch>
                      <a:fillRect/>
                    </a:stretch>
                  </pic:blipFill>
                  <pic:spPr>
                    <a:xfrm>
                      <a:off x="0" y="0"/>
                      <a:ext cx="5121842" cy="9360000"/>
                    </a:xfrm>
                    <a:prstGeom prst="rect">
                      <a:avLst/>
                    </a:prstGeom>
                  </pic:spPr>
                </pic:pic>
              </a:graphicData>
            </a:graphic>
          </wp:inline>
        </w:drawing>
      </w:r>
    </w:p>
    <w:bookmarkEnd w:id="14"/>
    <w:p w14:paraId="37352D9A" w14:textId="07395FF8" w:rsidR="000F107F"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Figure S1</w:t>
      </w:r>
      <w:r w:rsidR="007C722A">
        <w:rPr>
          <w:rFonts w:ascii="Times New Roman" w:eastAsia="PMingLiU" w:hAnsi="Times New Roman" w:cs="Times New Roman"/>
          <w:b/>
          <w:bCs/>
          <w:kern w:val="0"/>
          <w:szCs w:val="24"/>
        </w:rPr>
        <w:t>0</w:t>
      </w:r>
      <w:r>
        <w:rPr>
          <w:rFonts w:ascii="Times New Roman" w:eastAsia="PMingLiU" w:hAnsi="Times New Roman" w:cs="Times New Roman"/>
          <w:b/>
          <w:bCs/>
          <w:kern w:val="0"/>
          <w:szCs w:val="24"/>
        </w:rPr>
        <w:t>. Residual normality diagnostics for PRS-OPT OLS models.</w:t>
      </w:r>
    </w:p>
    <w:p w14:paraId="66E373C1" w14:textId="353B18DA"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kern w:val="0"/>
          <w:szCs w:val="24"/>
        </w:rPr>
        <w:lastRenderedPageBreak/>
        <w:t xml:space="preserve">Quantile–quantile (Q–Q) plots (left) and residual histograms with kernel density overlays (right) are shown for the four quadratic OLS response-surface models fitted in this study: PLC/PRF/5 (PLC5) without fatty acids (non-FA), THLE-2 non-FA, PLC5 with fatty acids (FA), and THLE-2 FA. Residuals were defined as </w:t>
      </w:r>
      <w:r>
        <w:rPr>
          <w:rFonts w:ascii="Times New Roman" w:eastAsia="PMingLiU" w:hAnsi="Times New Roman" w:cs="Times New Roman"/>
          <w:i/>
          <w:iCs/>
          <w:kern w:val="0"/>
          <w:szCs w:val="24"/>
        </w:rPr>
        <w:t>e</w:t>
      </w:r>
      <w:r>
        <w:rPr>
          <w:rFonts w:ascii="Times New Roman" w:eastAsia="PMingLiU" w:hAnsi="Times New Roman" w:cs="Times New Roman"/>
          <w:kern w:val="0"/>
          <w:szCs w:val="24"/>
        </w:rPr>
        <w:t xml:space="preserve"> = </w:t>
      </w:r>
      <w:r>
        <w:rPr>
          <w:rFonts w:ascii="Times New Roman" w:eastAsia="PMingLiU" w:hAnsi="Times New Roman" w:cs="Times New Roman"/>
          <w:i/>
          <w:iCs/>
          <w:kern w:val="0"/>
          <w:szCs w:val="24"/>
        </w:rPr>
        <w:t>y</w:t>
      </w:r>
      <w:r>
        <w:rPr>
          <w:rFonts w:ascii="Times New Roman" w:eastAsia="PMingLiU" w:hAnsi="Times New Roman" w:cs="Times New Roman"/>
          <w:kern w:val="0"/>
          <w:szCs w:val="24"/>
        </w:rPr>
        <w:t xml:space="preserve"> </w:t>
      </w:r>
      <w:r>
        <w:rPr>
          <w:rFonts w:ascii="Times New Roman" w:eastAsia="MS Gothic" w:hAnsi="Times New Roman" w:cs="Times New Roman"/>
          <w:kern w:val="0"/>
          <w:szCs w:val="24"/>
        </w:rPr>
        <w:t>−</w:t>
      </w:r>
      <w:r>
        <w:rPr>
          <w:rFonts w:ascii="Times New Roman" w:eastAsia="PMingLiU" w:hAnsi="Times New Roman" w:cs="Times New Roman"/>
          <w:kern w:val="0"/>
          <w:szCs w:val="24"/>
        </w:rPr>
        <w:t xml:space="preserve"> ŷ (observed viability minus model-predicted viability). Q–Q plots assess agreement with a theoretical normal distribution; histograms provide complementary visualization of residual distribution shape. Formal Shapiro–Wilk test results are provided in the Supplementary diagnostic summary. </w:t>
      </w:r>
    </w:p>
    <w:p w14:paraId="3EDCA4EE" w14:textId="1850B06B" w:rsidR="000E675A" w:rsidRDefault="005764C4" w:rsidP="005764C4">
      <w:pPr>
        <w:pStyle w:val="TSP52figure"/>
        <w:rPr>
          <w:rFonts w:eastAsia="PMingLiU"/>
        </w:rPr>
      </w:pPr>
      <w:r>
        <w:rPr>
          <w:rFonts w:eastAsia="PMingLiU"/>
          <w:noProof/>
        </w:rPr>
        <w:drawing>
          <wp:inline distT="0" distB="0" distL="0" distR="0" wp14:anchorId="6A8CBB1B" wp14:editId="091C1038">
            <wp:extent cx="5736833" cy="5620999"/>
            <wp:effectExtent l="0" t="0" r="0" b="0"/>
            <wp:docPr id="3595563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556310" name="Picture 359556310"/>
                    <pic:cNvPicPr/>
                  </pic:nvPicPr>
                  <pic:blipFill>
                    <a:blip r:embed="rId17">
                      <a:extLst>
                        <a:ext uri="{28A0092B-C50C-407E-A947-70E740481C1C}">
                          <a14:useLocalDpi xmlns:a14="http://schemas.microsoft.com/office/drawing/2010/main" val="0"/>
                        </a:ext>
                      </a:extLst>
                    </a:blip>
                    <a:stretch>
                      <a:fillRect/>
                    </a:stretch>
                  </pic:blipFill>
                  <pic:spPr>
                    <a:xfrm>
                      <a:off x="0" y="0"/>
                      <a:ext cx="5736833" cy="5620999"/>
                    </a:xfrm>
                    <a:prstGeom prst="rect">
                      <a:avLst/>
                    </a:prstGeom>
                  </pic:spPr>
                </pic:pic>
              </a:graphicData>
            </a:graphic>
          </wp:inline>
        </w:drawing>
      </w:r>
    </w:p>
    <w:p w14:paraId="5359E770" w14:textId="06E3F35F" w:rsidR="000F107F" w:rsidRDefault="005764C4">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Figure S1</w:t>
      </w:r>
      <w:r>
        <w:rPr>
          <w:rFonts w:ascii="Times New Roman" w:eastAsia="PMingLiU" w:hAnsi="Times New Roman" w:cs="Times New Roman"/>
          <w:b/>
          <w:bCs/>
          <w:kern w:val="0"/>
          <w:szCs w:val="24"/>
        </w:rPr>
        <w:t>1</w:t>
      </w:r>
      <w:r w:rsidR="00000000">
        <w:rPr>
          <w:rFonts w:ascii="Times New Roman" w:eastAsia="PMingLiU" w:hAnsi="Times New Roman" w:cs="Times New Roman"/>
          <w:b/>
          <w:bCs/>
          <w:kern w:val="0"/>
          <w:szCs w:val="24"/>
        </w:rPr>
        <w:t>. Residuals versus fitted values to evaluate homoscedasticity and model form.</w:t>
      </w:r>
    </w:p>
    <w:p w14:paraId="31B014EE" w14:textId="7A3160C2"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kern w:val="0"/>
          <w:szCs w:val="24"/>
        </w:rPr>
        <w:t>Residuals (</w:t>
      </w:r>
      <w:r>
        <w:rPr>
          <w:rFonts w:ascii="Times New Roman" w:eastAsia="PMingLiU" w:hAnsi="Times New Roman" w:cs="Times New Roman"/>
          <w:i/>
          <w:iCs/>
          <w:kern w:val="0"/>
          <w:szCs w:val="24"/>
        </w:rPr>
        <w:t>e</w:t>
      </w:r>
      <w:r>
        <w:rPr>
          <w:rFonts w:ascii="Times New Roman" w:eastAsia="PMingLiU" w:hAnsi="Times New Roman" w:cs="Times New Roman"/>
          <w:kern w:val="0"/>
          <w:szCs w:val="24"/>
        </w:rPr>
        <w:t xml:space="preserve"> = </w:t>
      </w:r>
      <w:r>
        <w:rPr>
          <w:rFonts w:ascii="Times New Roman" w:eastAsia="PMingLiU" w:hAnsi="Times New Roman" w:cs="Times New Roman"/>
          <w:i/>
          <w:iCs/>
          <w:kern w:val="0"/>
          <w:szCs w:val="24"/>
        </w:rPr>
        <w:t>y</w:t>
      </w:r>
      <w:r>
        <w:rPr>
          <w:rFonts w:ascii="Times New Roman" w:eastAsia="PMingLiU" w:hAnsi="Times New Roman" w:cs="Times New Roman"/>
          <w:kern w:val="0"/>
          <w:szCs w:val="24"/>
        </w:rPr>
        <w:t xml:space="preserve"> </w:t>
      </w:r>
      <w:r>
        <w:rPr>
          <w:rFonts w:ascii="Times New Roman" w:eastAsia="MS Gothic" w:hAnsi="Times New Roman" w:cs="Times New Roman"/>
          <w:kern w:val="0"/>
          <w:szCs w:val="24"/>
        </w:rPr>
        <w:t>−</w:t>
      </w:r>
      <w:r>
        <w:rPr>
          <w:rFonts w:ascii="Times New Roman" w:eastAsia="PMingLiU" w:hAnsi="Times New Roman" w:cs="Times New Roman"/>
          <w:kern w:val="0"/>
          <w:szCs w:val="24"/>
        </w:rPr>
        <w:t xml:space="preserve"> ŷ) are plotted against fitted values (ŷ) for the four PRS-OPT quadratic OLS models (PLC5 non-FA, THLE-2 non-FA, PLC5 FA, THLE-2 FA). The horizontal dashed line indicates zero residual. Visual patterns (e.g., funnel-shaped spread) were used to screen for heteroscedasticity and potential model misspecification; Breusch–Pagan tests are reported in the Supplementary diagnostic summary. </w:t>
      </w:r>
    </w:p>
    <w:p w14:paraId="4B1FB977" w14:textId="5FEA8E0C" w:rsidR="000E675A" w:rsidRDefault="005764C4" w:rsidP="005764C4">
      <w:pPr>
        <w:pStyle w:val="TSP52figure"/>
        <w:rPr>
          <w:rFonts w:eastAsia="PMingLiU"/>
        </w:rPr>
      </w:pPr>
      <w:r>
        <w:rPr>
          <w:rFonts w:eastAsia="PMingLiU"/>
          <w:noProof/>
        </w:rPr>
        <w:lastRenderedPageBreak/>
        <w:drawing>
          <wp:inline distT="0" distB="0" distL="0" distR="0" wp14:anchorId="44585BF8" wp14:editId="135C1692">
            <wp:extent cx="6572058" cy="6614733"/>
            <wp:effectExtent l="0" t="0" r="635" b="0"/>
            <wp:docPr id="14561382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138260" name="Picture 1456138260"/>
                    <pic:cNvPicPr/>
                  </pic:nvPicPr>
                  <pic:blipFill>
                    <a:blip r:embed="rId18">
                      <a:extLst>
                        <a:ext uri="{28A0092B-C50C-407E-A947-70E740481C1C}">
                          <a14:useLocalDpi xmlns:a14="http://schemas.microsoft.com/office/drawing/2010/main" val="0"/>
                        </a:ext>
                      </a:extLst>
                    </a:blip>
                    <a:stretch>
                      <a:fillRect/>
                    </a:stretch>
                  </pic:blipFill>
                  <pic:spPr>
                    <a:xfrm>
                      <a:off x="0" y="0"/>
                      <a:ext cx="6572058" cy="6614733"/>
                    </a:xfrm>
                    <a:prstGeom prst="rect">
                      <a:avLst/>
                    </a:prstGeom>
                  </pic:spPr>
                </pic:pic>
              </a:graphicData>
            </a:graphic>
          </wp:inline>
        </w:drawing>
      </w:r>
    </w:p>
    <w:p w14:paraId="69805479" w14:textId="485686CD" w:rsidR="000F107F" w:rsidRDefault="005764C4">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b/>
          <w:bCs/>
          <w:kern w:val="0"/>
          <w:szCs w:val="24"/>
        </w:rPr>
        <w:t>Figure S1</w:t>
      </w:r>
      <w:r>
        <w:rPr>
          <w:rFonts w:ascii="Times New Roman" w:eastAsia="PMingLiU" w:hAnsi="Times New Roman" w:cs="Times New Roman"/>
          <w:b/>
          <w:bCs/>
          <w:kern w:val="0"/>
          <w:szCs w:val="24"/>
        </w:rPr>
        <w:t>2</w:t>
      </w:r>
      <w:r w:rsidR="00000000">
        <w:rPr>
          <w:rFonts w:ascii="Times New Roman" w:eastAsia="PMingLiU" w:hAnsi="Times New Roman" w:cs="Times New Roman"/>
          <w:b/>
          <w:bCs/>
          <w:kern w:val="0"/>
          <w:szCs w:val="24"/>
        </w:rPr>
        <w:t>. Residuals versus experiment order to assess error independence.</w:t>
      </w:r>
    </w:p>
    <w:p w14:paraId="70A6C3FA" w14:textId="083161C4" w:rsidR="000E675A" w:rsidRDefault="00000000">
      <w:pPr>
        <w:widowControl/>
        <w:spacing w:after="60" w:line="320" w:lineRule="exact"/>
        <w:jc w:val="both"/>
        <w:rPr>
          <w:rFonts w:ascii="Times New Roman" w:eastAsia="PMingLiU" w:hAnsi="Times New Roman" w:cs="Times New Roman"/>
          <w:kern w:val="0"/>
          <w:szCs w:val="24"/>
        </w:rPr>
      </w:pPr>
      <w:r>
        <w:rPr>
          <w:rFonts w:ascii="Times New Roman" w:eastAsia="PMingLiU" w:hAnsi="Times New Roman" w:cs="Times New Roman"/>
          <w:kern w:val="0"/>
          <w:szCs w:val="24"/>
        </w:rPr>
        <w:t>Residuals (</w:t>
      </w:r>
      <w:r>
        <w:rPr>
          <w:rFonts w:ascii="Times New Roman" w:eastAsia="PMingLiU" w:hAnsi="Times New Roman" w:cs="Times New Roman"/>
          <w:i/>
          <w:iCs/>
          <w:kern w:val="0"/>
          <w:szCs w:val="24"/>
        </w:rPr>
        <w:t>e</w:t>
      </w:r>
      <w:r>
        <w:rPr>
          <w:rFonts w:ascii="Times New Roman" w:eastAsia="PMingLiU" w:hAnsi="Times New Roman" w:cs="Times New Roman"/>
          <w:kern w:val="0"/>
          <w:szCs w:val="24"/>
        </w:rPr>
        <w:t xml:space="preserve"> = </w:t>
      </w:r>
      <w:r>
        <w:rPr>
          <w:rFonts w:ascii="Times New Roman" w:eastAsia="PMingLiU" w:hAnsi="Times New Roman" w:cs="Times New Roman"/>
          <w:i/>
          <w:iCs/>
          <w:kern w:val="0"/>
          <w:szCs w:val="24"/>
        </w:rPr>
        <w:t>y</w:t>
      </w:r>
      <w:r>
        <w:rPr>
          <w:rFonts w:ascii="Times New Roman" w:eastAsia="PMingLiU" w:hAnsi="Times New Roman" w:cs="Times New Roman"/>
          <w:kern w:val="0"/>
          <w:szCs w:val="24"/>
        </w:rPr>
        <w:t xml:space="preserve"> </w:t>
      </w:r>
      <w:r>
        <w:rPr>
          <w:rFonts w:ascii="Times New Roman" w:eastAsia="MS Gothic" w:hAnsi="Times New Roman" w:cs="Times New Roman"/>
          <w:kern w:val="0"/>
          <w:szCs w:val="24"/>
        </w:rPr>
        <w:t>−</w:t>
      </w:r>
      <w:r>
        <w:rPr>
          <w:rFonts w:ascii="Times New Roman" w:eastAsia="PMingLiU" w:hAnsi="Times New Roman" w:cs="Times New Roman"/>
          <w:kern w:val="0"/>
          <w:szCs w:val="24"/>
        </w:rPr>
        <w:t xml:space="preserve"> ŷ) are plotted against experiment/run order for the four PRS-OPT quadratic OLS models (PLC5 non-FA, THLE-2 non-FA, PLC5 FA, THLE-2 FA). This diagnostic screens for temporal or batch-related structure in errors (autocorrelation). Durbin–Watson statistics are provided in the Supplementary diagnostic summary. </w:t>
      </w:r>
    </w:p>
    <w:sectPr w:rsidR="000E675A">
      <w:pgSz w:w="11906" w:h="16838"/>
      <w:pgMar w:top="720" w:right="720" w:bottom="720" w:left="720" w:header="227" w:footer="227"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C877B" w14:textId="77777777" w:rsidR="00FD5F6F" w:rsidRDefault="00FD5F6F" w:rsidP="00FC3F3D">
      <w:r>
        <w:separator/>
      </w:r>
    </w:p>
  </w:endnote>
  <w:endnote w:type="continuationSeparator" w:id="0">
    <w:p w14:paraId="27565D30" w14:textId="77777777" w:rsidR="00FD5F6F" w:rsidRDefault="00FD5F6F" w:rsidP="00FC3F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FKai-SB">
    <w:altName w:val="宋体"/>
    <w:charset w:val="88"/>
    <w:family w:val="script"/>
    <w:pitch w:val="default"/>
    <w:sig w:usb0="00000000" w:usb1="00000000" w:usb2="00000016" w:usb3="00000000" w:csb0="00100001" w:csb1="00000000"/>
  </w:font>
  <w:font w:name="Microsoft YaHei UI">
    <w:panose1 w:val="020B0503020204020204"/>
    <w:charset w:val="86"/>
    <w:family w:val="swiss"/>
    <w:pitch w:val="variable"/>
    <w:sig w:usb0="80000287" w:usb1="2ACF3C50" w:usb2="00000016" w:usb3="00000000" w:csb0="0004001F" w:csb1="00000000"/>
  </w:font>
  <w:font w:name="Minion Pro">
    <w:altName w:val="Times New Roman"/>
    <w:panose1 w:val="02040503050201020203"/>
    <w:charset w:val="00"/>
    <w:family w:val="roman"/>
    <w:notTrueType/>
    <w:pitch w:val="variable"/>
    <w:sig w:usb0="E00002AF" w:usb1="5000E07B" w:usb2="00000000" w:usb3="00000000" w:csb0="0000019F" w:csb1="00000000"/>
  </w:font>
  <w:font w:name="Cordia New">
    <w:panose1 w:val="020B0304020202020204"/>
    <w:charset w:val="DE"/>
    <w:family w:val="swiss"/>
    <w:pitch w:val="variable"/>
    <w:sig w:usb0="81000003" w:usb1="00000000" w:usb2="00000000" w:usb3="00000000" w:csb0="00010001"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6F2870" w14:textId="77777777" w:rsidR="00FD5F6F" w:rsidRDefault="00FD5F6F" w:rsidP="00FC3F3D">
      <w:r>
        <w:separator/>
      </w:r>
    </w:p>
  </w:footnote>
  <w:footnote w:type="continuationSeparator" w:id="0">
    <w:p w14:paraId="325D1095" w14:textId="77777777" w:rsidR="00FD5F6F" w:rsidRDefault="00FD5F6F" w:rsidP="00FC3F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B468F5"/>
    <w:multiLevelType w:val="hybridMultilevel"/>
    <w:tmpl w:val="C958BB10"/>
    <w:lvl w:ilvl="0" w:tplc="9348A9B0">
      <w:start w:val="1"/>
      <w:numFmt w:val="bullet"/>
      <w:pStyle w:val="TSP38bullet"/>
      <w:lvlText w:val=""/>
      <w:lvlJc w:val="left"/>
      <w:pPr>
        <w:ind w:left="425"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2085B"/>
    <w:multiLevelType w:val="hybridMultilevel"/>
    <w:tmpl w:val="CB98231C"/>
    <w:lvl w:ilvl="0" w:tplc="664029F2">
      <w:start w:val="1"/>
      <w:numFmt w:val="decimal"/>
      <w:lvlRestart w:val="0"/>
      <w:pStyle w:val="TSP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86F0249"/>
    <w:multiLevelType w:val="multilevel"/>
    <w:tmpl w:val="486F02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70012E46"/>
    <w:multiLevelType w:val="hybridMultilevel"/>
    <w:tmpl w:val="88C2FAD8"/>
    <w:lvl w:ilvl="0" w:tplc="5C06B1C6">
      <w:start w:val="1"/>
      <w:numFmt w:val="decimal"/>
      <w:pStyle w:val="TSP71References"/>
      <w:lvlText w:val="%1."/>
      <w:lvlJc w:val="left"/>
      <w:pPr>
        <w:ind w:left="360" w:hanging="360"/>
      </w:pPr>
      <w:rPr>
        <w:rFonts w:hint="eastAsia"/>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6311A3B"/>
    <w:multiLevelType w:val="hybridMultilevel"/>
    <w:tmpl w:val="9EF4A612"/>
    <w:lvl w:ilvl="0" w:tplc="BED0D818">
      <w:start w:val="1"/>
      <w:numFmt w:val="decimal"/>
      <w:lvlRestart w:val="0"/>
      <w:pStyle w:val="TSP37itemize"/>
      <w:lvlText w:val="%1."/>
      <w:lvlJc w:val="left"/>
      <w:pPr>
        <w:tabs>
          <w:tab w:val="num" w:pos="0"/>
        </w:tabs>
        <w:ind w:left="425" w:hanging="425"/>
      </w:pPr>
      <w:rPr>
        <w:rFonts w:hint="eastAsia"/>
        <w:b w:val="0"/>
        <w:i w:val="0"/>
        <w:caps w:val="0"/>
        <w:strike w:val="0"/>
        <w:dstrike w:val="0"/>
        <w:outline w:val="0"/>
        <w:shadow w:val="0"/>
        <w:emboss w:val="0"/>
        <w:imprint w:val="0"/>
        <w:vanish w:val="0"/>
        <w:color w:val="auto"/>
        <w:sz w:val="20"/>
        <w:u w:val="none"/>
        <w:effect w:val="none"/>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16cid:durableId="1413043057">
    <w:abstractNumId w:val="2"/>
  </w:num>
  <w:num w:numId="2" w16cid:durableId="1293440793">
    <w:abstractNumId w:val="4"/>
  </w:num>
  <w:num w:numId="3" w16cid:durableId="643582704">
    <w:abstractNumId w:val="0"/>
  </w:num>
  <w:num w:numId="4" w16cid:durableId="297683643">
    <w:abstractNumId w:val="1"/>
  </w:num>
  <w:num w:numId="5" w16cid:durableId="5235904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6D90"/>
    <w:rsid w:val="00027FE0"/>
    <w:rsid w:val="00060AE1"/>
    <w:rsid w:val="00093C21"/>
    <w:rsid w:val="000E675A"/>
    <w:rsid w:val="000F107F"/>
    <w:rsid w:val="00113173"/>
    <w:rsid w:val="00197FA1"/>
    <w:rsid w:val="001A1348"/>
    <w:rsid w:val="00333393"/>
    <w:rsid w:val="003372E3"/>
    <w:rsid w:val="003672DB"/>
    <w:rsid w:val="003A2F33"/>
    <w:rsid w:val="003E196B"/>
    <w:rsid w:val="004E7D81"/>
    <w:rsid w:val="00553550"/>
    <w:rsid w:val="005764C4"/>
    <w:rsid w:val="006467B3"/>
    <w:rsid w:val="00667B4F"/>
    <w:rsid w:val="0067026A"/>
    <w:rsid w:val="006B1716"/>
    <w:rsid w:val="006D218A"/>
    <w:rsid w:val="007172D4"/>
    <w:rsid w:val="00796D90"/>
    <w:rsid w:val="007B0F74"/>
    <w:rsid w:val="007B4B60"/>
    <w:rsid w:val="007C722A"/>
    <w:rsid w:val="007E1328"/>
    <w:rsid w:val="008151A8"/>
    <w:rsid w:val="0094667C"/>
    <w:rsid w:val="00996355"/>
    <w:rsid w:val="009A254E"/>
    <w:rsid w:val="00A07A51"/>
    <w:rsid w:val="00A20D5B"/>
    <w:rsid w:val="00BC15B1"/>
    <w:rsid w:val="00C40896"/>
    <w:rsid w:val="00C466EC"/>
    <w:rsid w:val="00C632F6"/>
    <w:rsid w:val="00D53B3C"/>
    <w:rsid w:val="00DD4726"/>
    <w:rsid w:val="00E01D74"/>
    <w:rsid w:val="00E3066E"/>
    <w:rsid w:val="00EC16C2"/>
    <w:rsid w:val="00F003C6"/>
    <w:rsid w:val="00F03394"/>
    <w:rsid w:val="00F51D4A"/>
    <w:rsid w:val="00FC3F3D"/>
    <w:rsid w:val="00FD5F6F"/>
    <w:rsid w:val="05782A3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F7735E"/>
  <w15:docId w15:val="{6511732C-A14B-4C04-AA3F-AB4907A3C7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pPr>
    <w:rPr>
      <w:kern w:val="2"/>
      <w:sz w:val="24"/>
      <w:szCs w:val="22"/>
      <w:lang w:eastAsia="zh-TW"/>
    </w:rPr>
  </w:style>
  <w:style w:type="paragraph" w:styleId="Heading1">
    <w:name w:val="heading 1"/>
    <w:basedOn w:val="Normal"/>
    <w:link w:val="Heading1Char"/>
    <w:uiPriority w:val="9"/>
    <w:qFormat/>
    <w:pPr>
      <w:widowControl/>
      <w:spacing w:before="100" w:beforeAutospacing="1" w:after="100" w:afterAutospacing="1"/>
      <w:outlineLvl w:val="0"/>
    </w:pPr>
    <w:rPr>
      <w:rFonts w:ascii="PMingLiU" w:eastAsia="PMingLiU" w:hAnsi="PMingLiU" w:cs="PMingLiU"/>
      <w:b/>
      <w:bCs/>
      <w:kern w:val="36"/>
      <w:sz w:val="48"/>
      <w:szCs w:val="48"/>
    </w:rPr>
  </w:style>
  <w:style w:type="paragraph" w:styleId="Heading2">
    <w:name w:val="heading 2"/>
    <w:basedOn w:val="Normal"/>
    <w:link w:val="Heading2Char"/>
    <w:uiPriority w:val="9"/>
    <w:qFormat/>
    <w:pPr>
      <w:widowControl/>
      <w:spacing w:before="100" w:beforeAutospacing="1" w:after="100" w:afterAutospacing="1"/>
      <w:outlineLvl w:val="1"/>
    </w:pPr>
    <w:rPr>
      <w:rFonts w:ascii="PMingLiU" w:eastAsia="PMingLiU" w:hAnsi="PMingLiU" w:cs="PMingLiU"/>
      <w:b/>
      <w:bCs/>
      <w:kern w:val="0"/>
      <w:sz w:val="36"/>
      <w:szCs w:val="36"/>
    </w:rPr>
  </w:style>
  <w:style w:type="paragraph" w:styleId="Heading3">
    <w:name w:val="heading 3"/>
    <w:basedOn w:val="Normal"/>
    <w:link w:val="Heading3Char"/>
    <w:uiPriority w:val="9"/>
    <w:qFormat/>
    <w:pPr>
      <w:widowControl/>
      <w:spacing w:before="100" w:beforeAutospacing="1" w:after="100" w:afterAutospacing="1"/>
      <w:outlineLvl w:val="2"/>
    </w:pPr>
    <w:rPr>
      <w:rFonts w:ascii="PMingLiU" w:eastAsia="PMingLiU" w:hAnsi="PMingLiU" w:cs="PMingLiU"/>
      <w:b/>
      <w:bCs/>
      <w:kern w:val="0"/>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heme="majorHAnsi" w:eastAsiaTheme="majorEastAsia" w:hAnsiTheme="majorHAnsi" w:cstheme="majorBidi"/>
      <w:sz w:val="18"/>
      <w:szCs w:val="18"/>
    </w:rPr>
  </w:style>
  <w:style w:type="paragraph" w:styleId="Caption">
    <w:name w:val="caption"/>
    <w:basedOn w:val="Normal"/>
    <w:next w:val="Normal"/>
    <w:uiPriority w:val="35"/>
    <w:unhideWhenUsed/>
    <w:qFormat/>
    <w:pPr>
      <w:spacing w:afterLines="50"/>
      <w:jc w:val="both"/>
    </w:pPr>
    <w:rPr>
      <w:rFonts w:ascii="Times New Roman" w:eastAsia="Times New Roman" w:hAnsi="Times New Roman"/>
      <w:sz w:val="20"/>
      <w:szCs w:val="20"/>
    </w:rPr>
  </w:style>
  <w:style w:type="character" w:styleId="CommentReference">
    <w:name w:val="annotation reference"/>
    <w:basedOn w:val="DefaultParagraphFont"/>
    <w:uiPriority w:val="99"/>
    <w:semiHidden/>
    <w:unhideWhenUsed/>
    <w:rPr>
      <w:sz w:val="21"/>
      <w:szCs w:val="21"/>
    </w:rPr>
  </w:style>
  <w:style w:type="paragraph" w:styleId="CommentText">
    <w:name w:val="annotation text"/>
    <w:basedOn w:val="Normal"/>
    <w:link w:val="CommentTextChar"/>
    <w:uiPriority w:val="99"/>
    <w:unhideWhenUsed/>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pPr>
      <w:tabs>
        <w:tab w:val="center" w:pos="4153"/>
        <w:tab w:val="right" w:pos="8306"/>
      </w:tabs>
      <w:snapToGrid w:val="0"/>
    </w:pPr>
    <w:rPr>
      <w:sz w:val="20"/>
      <w:szCs w:val="20"/>
    </w:rPr>
  </w:style>
  <w:style w:type="paragraph" w:styleId="Header">
    <w:name w:val="header"/>
    <w:basedOn w:val="Normal"/>
    <w:link w:val="HeaderChar"/>
    <w:uiPriority w:val="99"/>
    <w:unhideWhenUsed/>
    <w:pPr>
      <w:tabs>
        <w:tab w:val="center" w:pos="4153"/>
        <w:tab w:val="right" w:pos="8306"/>
      </w:tabs>
      <w:snapToGrid w:val="0"/>
    </w:pPr>
    <w:rPr>
      <w:sz w:val="20"/>
      <w:szCs w:val="20"/>
    </w:rPr>
  </w:style>
  <w:style w:type="paragraph" w:styleId="NormalWeb">
    <w:name w:val="Normal (Web)"/>
    <w:basedOn w:val="Normal"/>
    <w:uiPriority w:val="99"/>
    <w:semiHidden/>
    <w:unhideWhenUsed/>
    <w:pPr>
      <w:widowControl/>
      <w:spacing w:before="100" w:beforeAutospacing="1" w:after="100" w:afterAutospacing="1"/>
    </w:pPr>
    <w:rPr>
      <w:rFonts w:ascii="PMingLiU" w:eastAsia="PMingLiU" w:hAnsi="PMingLiU" w:cs="PMingLiU"/>
      <w:kern w:val="0"/>
      <w:szCs w:val="24"/>
    </w:rPr>
  </w:style>
  <w:style w:type="character" w:styleId="Strong">
    <w:name w:val="Strong"/>
    <w:basedOn w:val="DefaultParagraphFont"/>
    <w:uiPriority w:val="22"/>
    <w:qFormat/>
    <w:rPr>
      <w:b/>
      <w:bCs/>
    </w:rPr>
  </w:style>
  <w:style w:type="character" w:customStyle="1" w:styleId="Heading1Char">
    <w:name w:val="Heading 1 Char"/>
    <w:basedOn w:val="DefaultParagraphFont"/>
    <w:link w:val="Heading1"/>
    <w:uiPriority w:val="9"/>
    <w:rPr>
      <w:rFonts w:ascii="PMingLiU" w:eastAsia="PMingLiU" w:hAnsi="PMingLiU" w:cs="PMingLiU"/>
      <w:b/>
      <w:bCs/>
      <w:kern w:val="36"/>
      <w:sz w:val="48"/>
      <w:szCs w:val="48"/>
    </w:rPr>
  </w:style>
  <w:style w:type="character" w:customStyle="1" w:styleId="Heading2Char">
    <w:name w:val="Heading 2 Char"/>
    <w:basedOn w:val="DefaultParagraphFont"/>
    <w:link w:val="Heading2"/>
    <w:uiPriority w:val="9"/>
    <w:rPr>
      <w:rFonts w:ascii="PMingLiU" w:eastAsia="PMingLiU" w:hAnsi="PMingLiU" w:cs="PMingLiU"/>
      <w:b/>
      <w:bCs/>
      <w:kern w:val="0"/>
      <w:sz w:val="36"/>
      <w:szCs w:val="36"/>
    </w:rPr>
  </w:style>
  <w:style w:type="character" w:customStyle="1" w:styleId="Heading3Char">
    <w:name w:val="Heading 3 Char"/>
    <w:basedOn w:val="DefaultParagraphFont"/>
    <w:link w:val="Heading3"/>
    <w:uiPriority w:val="9"/>
    <w:rPr>
      <w:rFonts w:ascii="PMingLiU" w:eastAsia="PMingLiU" w:hAnsi="PMingLiU" w:cs="PMingLiU"/>
      <w:b/>
      <w:bCs/>
      <w:kern w:val="0"/>
      <w:sz w:val="27"/>
      <w:szCs w:val="27"/>
    </w:rPr>
  </w:style>
  <w:style w:type="table" w:customStyle="1" w:styleId="GridTable1Light1">
    <w:name w:val="Grid Table 1 Light1"/>
    <w:basedOn w:val="TableNormal"/>
    <w:uiPriority w:val="46"/>
    <w:rPr>
      <w:rFonts w:ascii="Times New Roman" w:eastAsia="DFKai-SB"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erChar">
    <w:name w:val="Header Char"/>
    <w:basedOn w:val="DefaultParagraphFont"/>
    <w:link w:val="Header"/>
    <w:uiPriority w:val="99"/>
    <w:rPr>
      <w:sz w:val="20"/>
      <w:szCs w:val="20"/>
    </w:rPr>
  </w:style>
  <w:style w:type="character" w:customStyle="1" w:styleId="FooterChar">
    <w:name w:val="Footer Char"/>
    <w:basedOn w:val="DefaultParagraphFont"/>
    <w:link w:val="Footer"/>
    <w:uiPriority w:val="99"/>
    <w:qFormat/>
    <w:rPr>
      <w:sz w:val="20"/>
      <w:szCs w:val="20"/>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basedOn w:val="CommentTextChar"/>
    <w:link w:val="CommentSubject"/>
    <w:uiPriority w:val="99"/>
    <w:semiHidden/>
    <w:qFormat/>
    <w:rPr>
      <w:b/>
      <w:bCs/>
    </w:rPr>
  </w:style>
  <w:style w:type="character" w:customStyle="1" w:styleId="cf01">
    <w:name w:val="cf01"/>
    <w:basedOn w:val="DefaultParagraphFont"/>
    <w:qFormat/>
    <w:rPr>
      <w:rFonts w:ascii="Microsoft YaHei UI" w:eastAsia="Microsoft YaHei UI" w:hAnsi="Microsoft YaHei UI" w:hint="eastAsia"/>
      <w:sz w:val="18"/>
      <w:szCs w:val="18"/>
    </w:rPr>
  </w:style>
  <w:style w:type="paragraph" w:customStyle="1" w:styleId="Revision1">
    <w:name w:val="Revision1"/>
    <w:hidden/>
    <w:uiPriority w:val="99"/>
    <w:semiHidden/>
    <w:rPr>
      <w:kern w:val="2"/>
      <w:sz w:val="24"/>
      <w:szCs w:val="22"/>
      <w:lang w:eastAsia="zh-TW"/>
    </w:rPr>
  </w:style>
  <w:style w:type="character" w:customStyle="1" w:styleId="BalloonTextChar">
    <w:name w:val="Balloon Text Char"/>
    <w:basedOn w:val="DefaultParagraphFont"/>
    <w:link w:val="BalloonText"/>
    <w:uiPriority w:val="99"/>
    <w:semiHidden/>
    <w:rPr>
      <w:rFonts w:asciiTheme="majorHAnsi" w:eastAsiaTheme="majorEastAsia" w:hAnsiTheme="majorHAnsi" w:cstheme="majorBidi"/>
      <w:sz w:val="18"/>
      <w:szCs w:val="18"/>
    </w:rPr>
  </w:style>
  <w:style w:type="paragraph" w:customStyle="1" w:styleId="EndNoteBibliography">
    <w:name w:val="EndNote Bibliography"/>
    <w:basedOn w:val="Normal"/>
    <w:link w:val="EndNoteBibliography0"/>
    <w:qFormat/>
    <w:rsid w:val="000F107F"/>
    <w:pPr>
      <w:spacing w:afterLines="50" w:line="240" w:lineRule="exact"/>
      <w:jc w:val="both"/>
    </w:pPr>
    <w:rPr>
      <w:rFonts w:ascii="Times New Roman" w:eastAsia="Times New Roman" w:hAnsi="Times New Roman" w:cs="Times New Roman"/>
    </w:rPr>
  </w:style>
  <w:style w:type="character" w:customStyle="1" w:styleId="EndNoteBibliography0">
    <w:name w:val="EndNote Bibliography 字元"/>
    <w:basedOn w:val="DefaultParagraphFont"/>
    <w:link w:val="EndNoteBibliography"/>
    <w:qFormat/>
    <w:rsid w:val="000F107F"/>
    <w:rPr>
      <w:rFonts w:ascii="Times New Roman" w:eastAsia="Times New Roman" w:hAnsi="Times New Roman" w:cs="Times New Roman"/>
      <w:kern w:val="2"/>
      <w:sz w:val="24"/>
      <w:szCs w:val="22"/>
      <w:lang w:eastAsia="zh-TW"/>
    </w:rPr>
  </w:style>
  <w:style w:type="paragraph" w:customStyle="1" w:styleId="TSP10doinum">
    <w:name w:val="TSP_1.0_doinum"/>
    <w:basedOn w:val="Normal"/>
    <w:qFormat/>
    <w:rsid w:val="000F107F"/>
    <w:pPr>
      <w:widowControl/>
      <w:adjustRightInd w:val="0"/>
      <w:snapToGrid w:val="0"/>
      <w:spacing w:after="240"/>
    </w:pPr>
    <w:rPr>
      <w:rFonts w:ascii="Minion Pro" w:hAnsi="Minion Pro" w:cs="Times New Roman"/>
      <w:color w:val="000000"/>
      <w:sz w:val="14"/>
      <w:szCs w:val="20"/>
      <w:lang w:eastAsia="zh-CN"/>
      <w14:ligatures w14:val="standardContextual"/>
    </w:rPr>
  </w:style>
  <w:style w:type="paragraph" w:customStyle="1" w:styleId="TSP11articletype">
    <w:name w:val="TSP_1.1_article_type"/>
    <w:next w:val="Normal"/>
    <w:qFormat/>
    <w:rsid w:val="000F107F"/>
    <w:pPr>
      <w:adjustRightInd w:val="0"/>
      <w:snapToGrid w:val="0"/>
      <w:spacing w:after="240" w:line="240" w:lineRule="atLeast"/>
    </w:pPr>
    <w:rPr>
      <w:rFonts w:ascii="Minion Pro" w:eastAsia="Times New Roman" w:hAnsi="Minion Pro" w:cs="Times New Roman"/>
      <w:b/>
      <w:caps/>
      <w:snapToGrid w:val="0"/>
      <w:color w:val="000000"/>
      <w:sz w:val="18"/>
      <w:szCs w:val="22"/>
      <w:u w:val="single"/>
      <w:lang w:eastAsia="de-DE" w:bidi="en-US"/>
    </w:rPr>
  </w:style>
  <w:style w:type="paragraph" w:customStyle="1" w:styleId="TSP12title">
    <w:name w:val="TSP_1.2_title"/>
    <w:next w:val="Normal"/>
    <w:qFormat/>
    <w:rsid w:val="000F107F"/>
    <w:pPr>
      <w:adjustRightInd w:val="0"/>
      <w:snapToGrid w:val="0"/>
      <w:spacing w:before="240" w:after="240" w:line="240" w:lineRule="atLeast"/>
    </w:pPr>
    <w:rPr>
      <w:rFonts w:ascii="Minion Pro" w:eastAsia="Times New Roman" w:hAnsi="Minion Pro" w:cs="Times New Roman"/>
      <w:b/>
      <w:snapToGrid w:val="0"/>
      <w:color w:val="000000"/>
      <w:sz w:val="28"/>
      <w:lang w:eastAsia="de-DE" w:bidi="en-US"/>
    </w:rPr>
  </w:style>
  <w:style w:type="paragraph" w:customStyle="1" w:styleId="TSP13authornames">
    <w:name w:val="TSP_1.3_authornames"/>
    <w:next w:val="Normal"/>
    <w:qFormat/>
    <w:rsid w:val="000F107F"/>
    <w:pPr>
      <w:adjustRightInd w:val="0"/>
      <w:snapToGrid w:val="0"/>
      <w:spacing w:after="240" w:line="240" w:lineRule="atLeast"/>
    </w:pPr>
    <w:rPr>
      <w:rFonts w:ascii="Minion Pro" w:eastAsia="Times New Roman" w:hAnsi="Minion Pro" w:cs="Times New Roman"/>
      <w:b/>
      <w:color w:val="000000"/>
      <w:sz w:val="22"/>
      <w:szCs w:val="22"/>
      <w:lang w:eastAsia="de-DE" w:bidi="en-US"/>
    </w:rPr>
  </w:style>
  <w:style w:type="paragraph" w:customStyle="1" w:styleId="TSP14history">
    <w:name w:val="TSP_1.4_history"/>
    <w:basedOn w:val="Normal"/>
    <w:next w:val="Normal"/>
    <w:autoRedefine/>
    <w:qFormat/>
    <w:rsid w:val="000F107F"/>
    <w:pPr>
      <w:widowControl/>
      <w:adjustRightInd w:val="0"/>
      <w:snapToGrid w:val="0"/>
      <w:spacing w:before="60" w:after="240" w:line="240" w:lineRule="atLeast"/>
    </w:pPr>
    <w:rPr>
      <w:rFonts w:ascii="Minion Pro" w:eastAsia="Times New Roman" w:hAnsi="Minion Pro" w:cs="Times New Roman"/>
      <w:color w:val="000000"/>
      <w:kern w:val="0"/>
      <w:sz w:val="18"/>
      <w:szCs w:val="20"/>
      <w:lang w:eastAsia="de-DE" w:bidi="en-US"/>
    </w:rPr>
  </w:style>
  <w:style w:type="paragraph" w:customStyle="1" w:styleId="TSP15academiceditor">
    <w:name w:val="TSP_1.5_academic_editor"/>
    <w:qFormat/>
    <w:rsid w:val="000F107F"/>
    <w:pPr>
      <w:adjustRightInd w:val="0"/>
      <w:snapToGrid w:val="0"/>
      <w:spacing w:before="120" w:after="120" w:line="240" w:lineRule="atLeast"/>
    </w:pPr>
    <w:rPr>
      <w:rFonts w:ascii="Minion Pro" w:eastAsia="Times New Roman" w:hAnsi="Minion Pro" w:cs="Times New Roman"/>
      <w:color w:val="000000"/>
      <w:sz w:val="18"/>
      <w:szCs w:val="22"/>
      <w:lang w:eastAsia="de-DE" w:bidi="en-US"/>
    </w:rPr>
  </w:style>
  <w:style w:type="paragraph" w:customStyle="1" w:styleId="TSP16affiliation">
    <w:name w:val="TSP_1.6_affiliation"/>
    <w:qFormat/>
    <w:rsid w:val="000F107F"/>
    <w:pPr>
      <w:adjustRightInd w:val="0"/>
      <w:snapToGrid w:val="0"/>
      <w:spacing w:line="240" w:lineRule="atLeast"/>
    </w:pPr>
    <w:rPr>
      <w:rFonts w:ascii="Minion Pro" w:eastAsia="Times New Roman" w:hAnsi="Minion Pro" w:cs="Times New Roman"/>
      <w:color w:val="000000"/>
      <w:sz w:val="18"/>
      <w:szCs w:val="18"/>
      <w:lang w:eastAsia="de-DE" w:bidi="en-US"/>
    </w:rPr>
  </w:style>
  <w:style w:type="paragraph" w:customStyle="1" w:styleId="TSP17abstract">
    <w:name w:val="TSP_1.7_abstract"/>
    <w:next w:val="Normal"/>
    <w:qFormat/>
    <w:rsid w:val="000F107F"/>
    <w:pPr>
      <w:adjustRightInd w:val="0"/>
      <w:snapToGrid w:val="0"/>
      <w:spacing w:before="240" w:after="240" w:line="240" w:lineRule="atLeast"/>
      <w:jc w:val="both"/>
    </w:pPr>
    <w:rPr>
      <w:rFonts w:ascii="Minion Pro" w:eastAsia="Times New Roman" w:hAnsi="Minion Pro" w:cs="Times New Roman"/>
      <w:color w:val="000000"/>
      <w:szCs w:val="22"/>
      <w:lang w:eastAsia="de-DE" w:bidi="en-US"/>
    </w:rPr>
  </w:style>
  <w:style w:type="paragraph" w:customStyle="1" w:styleId="TSP18keywords">
    <w:name w:val="TSP_1.8_keywords"/>
    <w:next w:val="Normal"/>
    <w:qFormat/>
    <w:rsid w:val="000F107F"/>
    <w:pPr>
      <w:adjustRightInd w:val="0"/>
      <w:snapToGrid w:val="0"/>
      <w:spacing w:before="240" w:line="240" w:lineRule="atLeast"/>
      <w:jc w:val="both"/>
    </w:pPr>
    <w:rPr>
      <w:rFonts w:ascii="Minion Pro" w:eastAsia="Times New Roman" w:hAnsi="Minion Pro" w:cs="Times New Roman"/>
      <w:snapToGrid w:val="0"/>
      <w:color w:val="000000"/>
      <w:szCs w:val="22"/>
      <w:lang w:eastAsia="de-DE" w:bidi="en-US"/>
    </w:rPr>
  </w:style>
  <w:style w:type="paragraph" w:customStyle="1" w:styleId="TSP19classification">
    <w:name w:val="TSP_1.9_classification"/>
    <w:qFormat/>
    <w:rsid w:val="000F107F"/>
    <w:pPr>
      <w:spacing w:before="240" w:line="240" w:lineRule="atLeast"/>
      <w:jc w:val="both"/>
    </w:pPr>
    <w:rPr>
      <w:rFonts w:ascii="Minion Pro" w:eastAsia="Times New Roman" w:hAnsi="Minion Pro" w:cs="Times New Roman"/>
      <w:b/>
      <w:color w:val="000000"/>
      <w:szCs w:val="22"/>
      <w:lang w:eastAsia="de-DE" w:bidi="en-US"/>
    </w:rPr>
  </w:style>
  <w:style w:type="paragraph" w:customStyle="1" w:styleId="TSP19line">
    <w:name w:val="TSP_1.9_line"/>
    <w:qFormat/>
    <w:rsid w:val="000F107F"/>
    <w:pPr>
      <w:pBdr>
        <w:bottom w:val="single" w:sz="6" w:space="1" w:color="auto"/>
      </w:pBdr>
      <w:adjustRightInd w:val="0"/>
      <w:snapToGrid w:val="0"/>
      <w:spacing w:after="480" w:line="240" w:lineRule="atLeast"/>
      <w:jc w:val="both"/>
    </w:pPr>
    <w:rPr>
      <w:rFonts w:ascii="Minion Pro" w:eastAsia="Times New Roman" w:hAnsi="Minion Pro" w:cs="Cordia New"/>
      <w:color w:val="000000"/>
      <w:szCs w:val="24"/>
      <w:lang w:eastAsia="de-DE" w:bidi="en-US"/>
    </w:rPr>
  </w:style>
  <w:style w:type="paragraph" w:customStyle="1" w:styleId="TSP21heading1">
    <w:name w:val="TSP_2.1_heading1"/>
    <w:qFormat/>
    <w:rsid w:val="000F107F"/>
    <w:pPr>
      <w:adjustRightInd w:val="0"/>
      <w:snapToGrid w:val="0"/>
      <w:spacing w:before="240" w:after="60" w:line="240" w:lineRule="atLeast"/>
      <w:outlineLvl w:val="0"/>
    </w:pPr>
    <w:rPr>
      <w:rFonts w:ascii="Minion Pro" w:eastAsia="Times New Roman" w:hAnsi="Minion Pro" w:cs="Times New Roman"/>
      <w:b/>
      <w:snapToGrid w:val="0"/>
      <w:color w:val="000000"/>
      <w:sz w:val="22"/>
      <w:szCs w:val="22"/>
      <w:lang w:eastAsia="de-DE" w:bidi="en-US"/>
    </w:rPr>
  </w:style>
  <w:style w:type="paragraph" w:customStyle="1" w:styleId="TSP22heading2">
    <w:name w:val="TSP_2.2_heading2"/>
    <w:qFormat/>
    <w:rsid w:val="000F107F"/>
    <w:pPr>
      <w:adjustRightInd w:val="0"/>
      <w:snapToGrid w:val="0"/>
      <w:spacing w:before="60" w:after="60" w:line="240" w:lineRule="atLeast"/>
      <w:outlineLvl w:val="1"/>
    </w:pPr>
    <w:rPr>
      <w:rFonts w:ascii="Minion Pro" w:eastAsia="Times New Roman" w:hAnsi="Minion Pro" w:cs="Times New Roman"/>
      <w:b/>
      <w:i/>
      <w:noProof/>
      <w:snapToGrid w:val="0"/>
      <w:color w:val="000000"/>
      <w:sz w:val="22"/>
      <w:szCs w:val="22"/>
      <w:lang w:eastAsia="de-DE" w:bidi="en-US"/>
    </w:rPr>
  </w:style>
  <w:style w:type="paragraph" w:customStyle="1" w:styleId="TSP23heading3">
    <w:name w:val="TSP_2.3_heading3"/>
    <w:qFormat/>
    <w:rsid w:val="000F107F"/>
    <w:pPr>
      <w:adjustRightInd w:val="0"/>
      <w:snapToGrid w:val="0"/>
      <w:spacing w:before="60" w:after="60" w:line="240" w:lineRule="atLeast"/>
      <w:outlineLvl w:val="2"/>
    </w:pPr>
    <w:rPr>
      <w:rFonts w:ascii="Minion Pro" w:eastAsia="Times New Roman" w:hAnsi="Minion Pro" w:cs="Times New Roman"/>
      <w:i/>
      <w:snapToGrid w:val="0"/>
      <w:color w:val="000000"/>
      <w:sz w:val="22"/>
      <w:szCs w:val="22"/>
      <w:lang w:eastAsia="de-DE" w:bidi="en-US"/>
    </w:rPr>
  </w:style>
  <w:style w:type="paragraph" w:customStyle="1" w:styleId="TSP24heading4">
    <w:name w:val="TSP_2.4_heading4"/>
    <w:basedOn w:val="TSP23heading3"/>
    <w:qFormat/>
    <w:rsid w:val="000F107F"/>
    <w:pPr>
      <w:outlineLvl w:val="3"/>
    </w:pPr>
    <w:rPr>
      <w:i w:val="0"/>
    </w:rPr>
  </w:style>
  <w:style w:type="paragraph" w:customStyle="1" w:styleId="TSP31text">
    <w:name w:val="TSP_3.1_text"/>
    <w:qFormat/>
    <w:rsid w:val="000F107F"/>
    <w:pPr>
      <w:adjustRightInd w:val="0"/>
      <w:snapToGrid w:val="0"/>
      <w:spacing w:after="60" w:line="240" w:lineRule="atLeast"/>
      <w:ind w:firstLine="425"/>
      <w:jc w:val="both"/>
    </w:pPr>
    <w:rPr>
      <w:rFonts w:ascii="Minion Pro" w:eastAsia="Times New Roman" w:hAnsi="Minion Pro" w:cs="Times New Roman"/>
      <w:snapToGrid w:val="0"/>
      <w:color w:val="000000"/>
      <w:sz w:val="22"/>
      <w:szCs w:val="22"/>
      <w:lang w:eastAsia="de-DE" w:bidi="en-US"/>
    </w:rPr>
  </w:style>
  <w:style w:type="paragraph" w:customStyle="1" w:styleId="TSP32textnoindent">
    <w:name w:val="TSP_3.2_text_no_indent"/>
    <w:basedOn w:val="TSP31text"/>
    <w:qFormat/>
    <w:rsid w:val="000F107F"/>
    <w:pPr>
      <w:ind w:firstLine="0"/>
    </w:pPr>
  </w:style>
  <w:style w:type="paragraph" w:customStyle="1" w:styleId="TSP33textspaceafter">
    <w:name w:val="TSP_3.3_text_space_after"/>
    <w:qFormat/>
    <w:rsid w:val="000F107F"/>
    <w:pPr>
      <w:adjustRightInd w:val="0"/>
      <w:snapToGrid w:val="0"/>
      <w:spacing w:after="240" w:line="240" w:lineRule="atLeast"/>
      <w:ind w:firstLine="425"/>
      <w:jc w:val="both"/>
    </w:pPr>
    <w:rPr>
      <w:rFonts w:ascii="Minion Pro" w:eastAsia="Times New Roman" w:hAnsi="Minion Pro" w:cs="Times New Roman"/>
      <w:snapToGrid w:val="0"/>
      <w:color w:val="000000"/>
      <w:sz w:val="22"/>
      <w:szCs w:val="22"/>
      <w:lang w:eastAsia="de-DE" w:bidi="en-US"/>
    </w:rPr>
  </w:style>
  <w:style w:type="paragraph" w:customStyle="1" w:styleId="TSP34textspacebefore">
    <w:name w:val="TSP_3.4_text_space_before"/>
    <w:qFormat/>
    <w:rsid w:val="000F107F"/>
    <w:pPr>
      <w:adjustRightInd w:val="0"/>
      <w:snapToGrid w:val="0"/>
      <w:spacing w:before="240" w:line="240" w:lineRule="atLeast"/>
      <w:ind w:firstLine="425"/>
      <w:jc w:val="both"/>
    </w:pPr>
    <w:rPr>
      <w:rFonts w:ascii="Minion Pro" w:eastAsia="Times New Roman" w:hAnsi="Minion Pro" w:cs="Times New Roman"/>
      <w:snapToGrid w:val="0"/>
      <w:color w:val="000000"/>
      <w:sz w:val="22"/>
      <w:szCs w:val="22"/>
      <w:lang w:eastAsia="de-DE" w:bidi="en-US"/>
    </w:rPr>
  </w:style>
  <w:style w:type="paragraph" w:customStyle="1" w:styleId="TSP35textbeforelist">
    <w:name w:val="TSP_3.5_text_before_list"/>
    <w:qFormat/>
    <w:rsid w:val="000F107F"/>
    <w:pPr>
      <w:adjustRightInd w:val="0"/>
      <w:snapToGrid w:val="0"/>
      <w:spacing w:after="60" w:line="240" w:lineRule="atLeast"/>
      <w:ind w:firstLine="425"/>
      <w:jc w:val="both"/>
    </w:pPr>
    <w:rPr>
      <w:rFonts w:ascii="Minion Pro" w:eastAsia="Times New Roman" w:hAnsi="Minion Pro" w:cs="Times New Roman"/>
      <w:snapToGrid w:val="0"/>
      <w:color w:val="000000"/>
      <w:sz w:val="22"/>
      <w:szCs w:val="22"/>
      <w:lang w:eastAsia="de-DE" w:bidi="en-US"/>
    </w:rPr>
  </w:style>
  <w:style w:type="paragraph" w:customStyle="1" w:styleId="TSP36textafterlist">
    <w:name w:val="TSP_3.6_text_after_list"/>
    <w:qFormat/>
    <w:rsid w:val="000F107F"/>
    <w:pPr>
      <w:adjustRightInd w:val="0"/>
      <w:snapToGrid w:val="0"/>
      <w:spacing w:before="60" w:line="240" w:lineRule="atLeast"/>
      <w:ind w:firstLine="425"/>
      <w:jc w:val="both"/>
    </w:pPr>
    <w:rPr>
      <w:rFonts w:ascii="Minion Pro" w:eastAsia="Times New Roman" w:hAnsi="Minion Pro" w:cs="Times New Roman"/>
      <w:snapToGrid w:val="0"/>
      <w:color w:val="000000"/>
      <w:sz w:val="22"/>
      <w:szCs w:val="22"/>
      <w:lang w:eastAsia="de-DE" w:bidi="en-US"/>
    </w:rPr>
  </w:style>
  <w:style w:type="paragraph" w:customStyle="1" w:styleId="TSP37itemize">
    <w:name w:val="TSP_3.7_itemize"/>
    <w:qFormat/>
    <w:rsid w:val="000F107F"/>
    <w:pPr>
      <w:numPr>
        <w:numId w:val="2"/>
      </w:numPr>
      <w:adjustRightInd w:val="0"/>
      <w:snapToGrid w:val="0"/>
      <w:spacing w:line="228" w:lineRule="auto"/>
      <w:jc w:val="both"/>
    </w:pPr>
    <w:rPr>
      <w:rFonts w:ascii="Minion Pro" w:eastAsia="Times New Roman" w:hAnsi="Minion Pro" w:cs="Times New Roman"/>
      <w:color w:val="000000"/>
      <w:sz w:val="22"/>
      <w:szCs w:val="22"/>
      <w:lang w:eastAsia="de-DE" w:bidi="en-US"/>
    </w:rPr>
  </w:style>
  <w:style w:type="paragraph" w:customStyle="1" w:styleId="TSP38bullet">
    <w:name w:val="TSP_3.8_bullet"/>
    <w:qFormat/>
    <w:rsid w:val="000F107F"/>
    <w:pPr>
      <w:numPr>
        <w:numId w:val="3"/>
      </w:numPr>
      <w:adjustRightInd w:val="0"/>
      <w:snapToGrid w:val="0"/>
      <w:spacing w:line="228" w:lineRule="auto"/>
      <w:jc w:val="both"/>
    </w:pPr>
    <w:rPr>
      <w:rFonts w:ascii="Minion Pro" w:eastAsia="Times New Roman" w:hAnsi="Minion Pro" w:cs="Times New Roman"/>
      <w:color w:val="000000"/>
      <w:sz w:val="22"/>
      <w:szCs w:val="22"/>
      <w:lang w:eastAsia="de-DE" w:bidi="en-US"/>
    </w:rPr>
  </w:style>
  <w:style w:type="paragraph" w:customStyle="1" w:styleId="TSP39equation">
    <w:name w:val="TSP_3.9_equation"/>
    <w:qFormat/>
    <w:rsid w:val="000F107F"/>
    <w:pPr>
      <w:adjustRightInd w:val="0"/>
      <w:snapToGrid w:val="0"/>
      <w:spacing w:before="120" w:after="120" w:line="240" w:lineRule="atLeast"/>
    </w:pPr>
    <w:rPr>
      <w:rFonts w:ascii="Minion Pro" w:eastAsia="Times New Roman" w:hAnsi="Minion Pro" w:cs="Times New Roman"/>
      <w:snapToGrid w:val="0"/>
      <w:color w:val="000000"/>
      <w:sz w:val="22"/>
      <w:szCs w:val="22"/>
      <w:lang w:eastAsia="de-DE" w:bidi="en-US"/>
    </w:rPr>
  </w:style>
  <w:style w:type="paragraph" w:customStyle="1" w:styleId="TSP3aequationnumber">
    <w:name w:val="TSP_3.a_equation_number"/>
    <w:qFormat/>
    <w:rsid w:val="000F107F"/>
    <w:pPr>
      <w:spacing w:before="120" w:after="120" w:line="240" w:lineRule="atLeast"/>
      <w:jc w:val="right"/>
    </w:pPr>
    <w:rPr>
      <w:rFonts w:ascii="Minion Pro" w:eastAsia="Times New Roman" w:hAnsi="Minion Pro" w:cs="Times New Roman"/>
      <w:snapToGrid w:val="0"/>
      <w:color w:val="000000"/>
      <w:sz w:val="22"/>
      <w:szCs w:val="22"/>
      <w:lang w:eastAsia="de-DE" w:bidi="en-US"/>
    </w:rPr>
  </w:style>
  <w:style w:type="paragraph" w:customStyle="1" w:styleId="TSP411onetablecaption">
    <w:name w:val="TSP_4.1.1_one_table_caption"/>
    <w:qFormat/>
    <w:rsid w:val="000F107F"/>
    <w:pPr>
      <w:adjustRightInd w:val="0"/>
      <w:snapToGrid w:val="0"/>
      <w:spacing w:before="240" w:after="120" w:line="240" w:lineRule="atLeast"/>
      <w:jc w:val="center"/>
    </w:pPr>
    <w:rPr>
      <w:rFonts w:ascii="Minion Pro" w:eastAsia="宋体" w:hAnsi="Minion Pro" w:cs="Cordia New"/>
      <w:noProof/>
      <w:color w:val="000000"/>
      <w:szCs w:val="22"/>
      <w:lang w:bidi="en-US"/>
    </w:rPr>
  </w:style>
  <w:style w:type="paragraph" w:customStyle="1" w:styleId="TSP41tablecaption">
    <w:name w:val="TSP_4.1_table_caption"/>
    <w:qFormat/>
    <w:rsid w:val="000F107F"/>
    <w:pPr>
      <w:adjustRightInd w:val="0"/>
      <w:snapToGrid w:val="0"/>
      <w:spacing w:before="240" w:after="120" w:line="240" w:lineRule="atLeast"/>
      <w:jc w:val="both"/>
    </w:pPr>
    <w:rPr>
      <w:rFonts w:ascii="Minion Pro" w:eastAsia="Times New Roman" w:hAnsi="Minion Pro" w:cs="Cordia New"/>
      <w:color w:val="000000"/>
      <w:szCs w:val="22"/>
      <w:lang w:eastAsia="de-DE" w:bidi="en-US"/>
    </w:rPr>
  </w:style>
  <w:style w:type="paragraph" w:customStyle="1" w:styleId="TSP43tablefooter">
    <w:name w:val="TSP_4.3_table_footer"/>
    <w:next w:val="TSP31text"/>
    <w:qFormat/>
    <w:rsid w:val="000F107F"/>
    <w:pPr>
      <w:adjustRightInd w:val="0"/>
      <w:snapToGrid w:val="0"/>
      <w:spacing w:after="240" w:line="240" w:lineRule="atLeast"/>
      <w:jc w:val="both"/>
    </w:pPr>
    <w:rPr>
      <w:rFonts w:ascii="Minion Pro" w:eastAsia="Times New Roman" w:hAnsi="Minion Pro" w:cs="Cordia New"/>
      <w:color w:val="000000"/>
      <w:szCs w:val="22"/>
      <w:lang w:eastAsia="de-DE" w:bidi="en-US"/>
    </w:rPr>
  </w:style>
  <w:style w:type="paragraph" w:customStyle="1" w:styleId="TSP511onefigurecaption">
    <w:name w:val="TSP_5.1.1_one_figure_caption"/>
    <w:qFormat/>
    <w:rsid w:val="000F107F"/>
    <w:pPr>
      <w:adjustRightInd w:val="0"/>
      <w:snapToGrid w:val="0"/>
      <w:spacing w:before="120" w:after="240" w:line="240" w:lineRule="atLeast"/>
      <w:jc w:val="center"/>
    </w:pPr>
    <w:rPr>
      <w:rFonts w:ascii="Minion Pro" w:eastAsia="宋体" w:hAnsi="Minion Pro" w:cs="Times New Roman"/>
      <w:noProof/>
      <w:color w:val="000000"/>
      <w:lang w:bidi="en-US"/>
    </w:rPr>
  </w:style>
  <w:style w:type="paragraph" w:customStyle="1" w:styleId="TSP51figurecaption">
    <w:name w:val="TSP_5.1_figure_caption"/>
    <w:qFormat/>
    <w:rsid w:val="000F107F"/>
    <w:pPr>
      <w:adjustRightInd w:val="0"/>
      <w:snapToGrid w:val="0"/>
      <w:spacing w:before="120" w:after="240" w:line="240" w:lineRule="atLeast"/>
      <w:jc w:val="both"/>
    </w:pPr>
    <w:rPr>
      <w:rFonts w:ascii="Minion Pro" w:eastAsia="Times New Roman" w:hAnsi="Minion Pro" w:cs="Times New Roman"/>
      <w:color w:val="000000"/>
      <w:lang w:eastAsia="de-DE" w:bidi="en-US"/>
    </w:rPr>
  </w:style>
  <w:style w:type="paragraph" w:customStyle="1" w:styleId="TSP52figure">
    <w:name w:val="TSP_5.2_figure"/>
    <w:qFormat/>
    <w:rsid w:val="000F107F"/>
    <w:pPr>
      <w:adjustRightInd w:val="0"/>
      <w:snapToGrid w:val="0"/>
      <w:spacing w:before="240" w:after="120" w:line="240" w:lineRule="atLeast"/>
      <w:jc w:val="center"/>
    </w:pPr>
    <w:rPr>
      <w:rFonts w:ascii="Minion Pro" w:eastAsia="Times New Roman" w:hAnsi="Minion Pro" w:cs="Times New Roman"/>
      <w:snapToGrid w:val="0"/>
      <w:color w:val="000000"/>
      <w:lang w:eastAsia="de-DE" w:bidi="en-US"/>
    </w:rPr>
  </w:style>
  <w:style w:type="paragraph" w:customStyle="1" w:styleId="TSP61Citation">
    <w:name w:val="TSP_6.1_Citation"/>
    <w:qFormat/>
    <w:rsid w:val="000F107F"/>
    <w:pPr>
      <w:adjustRightInd w:val="0"/>
      <w:snapToGrid w:val="0"/>
      <w:spacing w:line="240" w:lineRule="atLeast"/>
    </w:pPr>
    <w:rPr>
      <w:rFonts w:ascii="Minion Pro" w:eastAsia="宋体" w:hAnsi="Minion Pro" w:cs="Cordia New"/>
      <w:sz w:val="22"/>
      <w:szCs w:val="22"/>
    </w:rPr>
  </w:style>
  <w:style w:type="paragraph" w:customStyle="1" w:styleId="TSP62BackMatter">
    <w:name w:val="TSP_6.2_BackMatter"/>
    <w:qFormat/>
    <w:rsid w:val="000F107F"/>
    <w:pPr>
      <w:adjustRightInd w:val="0"/>
      <w:snapToGrid w:val="0"/>
      <w:spacing w:before="120" w:after="120" w:line="240" w:lineRule="atLeast"/>
      <w:jc w:val="both"/>
    </w:pPr>
    <w:rPr>
      <w:rFonts w:ascii="Minion Pro" w:eastAsia="Times New Roman" w:hAnsi="Minion Pro" w:cs="Times New Roman"/>
      <w:snapToGrid w:val="0"/>
      <w:color w:val="000000"/>
      <w:lang w:eastAsia="en-US" w:bidi="en-US"/>
    </w:rPr>
  </w:style>
  <w:style w:type="paragraph" w:customStyle="1" w:styleId="TSP63Notes">
    <w:name w:val="TSP_6.3_Notes"/>
    <w:qFormat/>
    <w:rsid w:val="000F107F"/>
    <w:pPr>
      <w:adjustRightInd w:val="0"/>
      <w:snapToGrid w:val="0"/>
      <w:spacing w:before="60" w:after="60" w:line="228" w:lineRule="auto"/>
      <w:jc w:val="both"/>
    </w:pPr>
    <w:rPr>
      <w:rFonts w:ascii="Minion Pro" w:eastAsia="宋体" w:hAnsi="Minion Pro" w:cs="Times New Roman"/>
      <w:snapToGrid w:val="0"/>
      <w:color w:val="000000"/>
      <w:sz w:val="18"/>
      <w:lang w:eastAsia="en-US" w:bidi="en-US"/>
    </w:rPr>
  </w:style>
  <w:style w:type="paragraph" w:customStyle="1" w:styleId="TSP71FootNotes">
    <w:name w:val="TSP_7.1_FootNotes"/>
    <w:qFormat/>
    <w:rsid w:val="000F107F"/>
    <w:pPr>
      <w:numPr>
        <w:numId w:val="4"/>
      </w:numPr>
      <w:adjustRightInd w:val="0"/>
      <w:snapToGrid w:val="0"/>
      <w:spacing w:before="60" w:after="60" w:line="228" w:lineRule="auto"/>
      <w:jc w:val="both"/>
    </w:pPr>
    <w:rPr>
      <w:rFonts w:ascii="Minion Pro" w:eastAsia="宋体" w:hAnsi="Minion Pro" w:cs="Times New Roman"/>
      <w:noProof/>
      <w:color w:val="000000"/>
      <w:sz w:val="18"/>
    </w:rPr>
  </w:style>
  <w:style w:type="paragraph" w:customStyle="1" w:styleId="TSP71References">
    <w:name w:val="TSP_7.1_References"/>
    <w:qFormat/>
    <w:rsid w:val="000F107F"/>
    <w:pPr>
      <w:numPr>
        <w:numId w:val="5"/>
      </w:numPr>
      <w:adjustRightInd w:val="0"/>
      <w:snapToGrid w:val="0"/>
      <w:spacing w:line="228" w:lineRule="auto"/>
      <w:jc w:val="both"/>
    </w:pPr>
    <w:rPr>
      <w:rFonts w:ascii="Minion Pro" w:eastAsia="等线" w:hAnsi="Minion Pro" w:cs="Times New Roman"/>
      <w:color w:val="000000"/>
      <w:lang w:eastAsia="de-DE" w:bidi="en-US"/>
    </w:rPr>
  </w:style>
  <w:style w:type="paragraph" w:customStyle="1" w:styleId="TSP72Copyright">
    <w:name w:val="TSP_7.2_Copyright"/>
    <w:qFormat/>
    <w:rsid w:val="000F107F"/>
    <w:pPr>
      <w:adjustRightInd w:val="0"/>
      <w:snapToGrid w:val="0"/>
      <w:spacing w:line="228" w:lineRule="auto"/>
      <w:jc w:val="both"/>
    </w:pPr>
    <w:rPr>
      <w:rFonts w:ascii="Minion Pro" w:eastAsia="Times New Roman" w:hAnsi="Minion Pro" w:cs="Times New Roman"/>
      <w:noProof/>
      <w:snapToGrid w:val="0"/>
      <w:color w:val="000000"/>
      <w:sz w:val="18"/>
      <w:lang w:val="en-GB" w:eastAsia="en-GB"/>
    </w:rPr>
  </w:style>
  <w:style w:type="paragraph" w:customStyle="1" w:styleId="TSP73CopyrightImage">
    <w:name w:val="TSP_7.3_CopyrightImage"/>
    <w:qFormat/>
    <w:rsid w:val="000F107F"/>
    <w:pPr>
      <w:adjustRightInd w:val="0"/>
      <w:snapToGrid w:val="0"/>
      <w:spacing w:before="20" w:line="228" w:lineRule="auto"/>
    </w:pPr>
    <w:rPr>
      <w:rFonts w:ascii="Minion Pro" w:eastAsia="Times New Roman" w:hAnsi="Minion Pro" w:cs="Times New Roman"/>
      <w:color w:val="000000"/>
      <w:sz w:val="18"/>
      <w:lang w:eastAsia="de-CH"/>
    </w:rPr>
  </w:style>
  <w:style w:type="paragraph" w:customStyle="1" w:styleId="TSP81theorem">
    <w:name w:val="TSP_8.1_theorem"/>
    <w:qFormat/>
    <w:rsid w:val="000F107F"/>
    <w:pPr>
      <w:adjustRightInd w:val="0"/>
      <w:snapToGrid w:val="0"/>
      <w:spacing w:before="240" w:after="240" w:line="240" w:lineRule="atLeast"/>
      <w:jc w:val="both"/>
    </w:pPr>
    <w:rPr>
      <w:rFonts w:ascii="Minion Pro" w:eastAsia="Times New Roman" w:hAnsi="Minion Pro" w:cs="Times New Roman"/>
      <w:i/>
      <w:snapToGrid w:val="0"/>
      <w:color w:val="000000"/>
      <w:sz w:val="22"/>
      <w:szCs w:val="22"/>
      <w:lang w:eastAsia="de-DE" w:bidi="en-US"/>
    </w:rPr>
  </w:style>
  <w:style w:type="paragraph" w:customStyle="1" w:styleId="TSP82proof">
    <w:name w:val="TSP_8.2_proof"/>
    <w:qFormat/>
    <w:rsid w:val="000F107F"/>
    <w:pPr>
      <w:adjustRightInd w:val="0"/>
      <w:snapToGrid w:val="0"/>
      <w:spacing w:before="240" w:after="240" w:line="240" w:lineRule="atLeast"/>
      <w:jc w:val="both"/>
    </w:pPr>
    <w:rPr>
      <w:rFonts w:ascii="Minion Pro" w:eastAsia="Times New Roman" w:hAnsi="Minion Pro" w:cs="Times New Roman"/>
      <w:snapToGrid w:val="0"/>
      <w:color w:val="000000"/>
      <w:sz w:val="22"/>
      <w:szCs w:val="22"/>
      <w:lang w:eastAsia="de-DE" w:bidi="en-US"/>
    </w:rPr>
  </w:style>
  <w:style w:type="paragraph" w:customStyle="1" w:styleId="TSPequationFram">
    <w:name w:val="TSP_equationFram"/>
    <w:qFormat/>
    <w:rsid w:val="000F107F"/>
    <w:pPr>
      <w:adjustRightInd w:val="0"/>
      <w:snapToGrid w:val="0"/>
      <w:spacing w:before="120" w:after="120"/>
    </w:pPr>
    <w:rPr>
      <w:rFonts w:ascii="Minion Pro" w:eastAsia="Times New Roman" w:hAnsi="Minion Pro" w:cs="Times New Roman"/>
      <w:snapToGrid w:val="0"/>
      <w:color w:val="000000"/>
      <w:sz w:val="22"/>
      <w:szCs w:val="22"/>
      <w:lang w:eastAsia="de-DE" w:bidi="en-US"/>
    </w:rPr>
  </w:style>
  <w:style w:type="paragraph" w:customStyle="1" w:styleId="TSPfooter">
    <w:name w:val="TSP_footer"/>
    <w:qFormat/>
    <w:rsid w:val="000F107F"/>
    <w:pPr>
      <w:adjustRightInd w:val="0"/>
      <w:snapToGrid w:val="0"/>
      <w:spacing w:line="228" w:lineRule="auto"/>
      <w:jc w:val="both"/>
    </w:pPr>
    <w:rPr>
      <w:rFonts w:ascii="Minion Pro" w:eastAsia="Times New Roman" w:hAnsi="Minion Pro" w:cs="Times New Roman"/>
      <w:color w:val="000000"/>
      <w:sz w:val="16"/>
      <w:lang w:eastAsia="de-DE"/>
    </w:rPr>
  </w:style>
  <w:style w:type="paragraph" w:customStyle="1" w:styleId="TSPfooterfirstpage">
    <w:name w:val="TSP_footer_firstpage"/>
    <w:qFormat/>
    <w:rsid w:val="000F107F"/>
    <w:pPr>
      <w:tabs>
        <w:tab w:val="right" w:pos="8845"/>
      </w:tabs>
      <w:suppressAutoHyphens/>
      <w:snapToGrid w:val="0"/>
      <w:spacing w:line="228" w:lineRule="auto"/>
      <w:jc w:val="both"/>
    </w:pPr>
    <w:rPr>
      <w:rFonts w:ascii="Minion Pro" w:eastAsia="Times New Roman" w:hAnsi="Minion Pro" w:cs="Times New Roman"/>
      <w:color w:val="000000"/>
      <w:sz w:val="16"/>
      <w:lang w:eastAsia="de-DE"/>
    </w:rPr>
  </w:style>
  <w:style w:type="paragraph" w:customStyle="1" w:styleId="TSPheader">
    <w:name w:val="TSP_header"/>
    <w:qFormat/>
    <w:rsid w:val="000F107F"/>
    <w:pPr>
      <w:adjustRightInd w:val="0"/>
      <w:snapToGrid w:val="0"/>
      <w:spacing w:line="228" w:lineRule="auto"/>
      <w:jc w:val="both"/>
    </w:pPr>
    <w:rPr>
      <w:rFonts w:ascii="Minion Pro" w:eastAsia="Times New Roman" w:hAnsi="Minion Pro" w:cs="Times New Roman"/>
      <w:iCs/>
      <w:color w:val="000000"/>
      <w:sz w:val="16"/>
      <w:lang w:eastAsia="de-DE"/>
    </w:rPr>
  </w:style>
  <w:style w:type="paragraph" w:customStyle="1" w:styleId="TSPheadercitation">
    <w:name w:val="TSP_header_citation"/>
    <w:qFormat/>
    <w:rsid w:val="000F107F"/>
    <w:pPr>
      <w:spacing w:line="228" w:lineRule="auto"/>
    </w:pPr>
    <w:rPr>
      <w:rFonts w:ascii="Minion Pro" w:eastAsia="Times New Roman" w:hAnsi="Minion Pro" w:cs="Times New Roman"/>
      <w:snapToGrid w:val="0"/>
      <w:color w:val="000000"/>
      <w:sz w:val="16"/>
      <w:lang w:eastAsia="de-DE" w:bidi="en-US"/>
    </w:rPr>
  </w:style>
  <w:style w:type="paragraph" w:customStyle="1" w:styleId="TSPheaderjournallogo">
    <w:name w:val="TSP_header_journal_logo"/>
    <w:qFormat/>
    <w:rsid w:val="000F107F"/>
    <w:pPr>
      <w:adjustRightInd w:val="0"/>
      <w:snapToGrid w:val="0"/>
      <w:spacing w:line="240" w:lineRule="atLeast"/>
    </w:pPr>
    <w:rPr>
      <w:rFonts w:ascii="Minion Pro" w:eastAsia="Times New Roman" w:hAnsi="Minion Pro" w:cs="Times New Roman"/>
      <w:color w:val="000000"/>
      <w:sz w:val="22"/>
      <w:szCs w:val="22"/>
      <w:lang w:eastAsia="de-CH"/>
    </w:rPr>
  </w:style>
  <w:style w:type="paragraph" w:customStyle="1" w:styleId="TSPtext">
    <w:name w:val="TSP_text"/>
    <w:qFormat/>
    <w:rsid w:val="000F107F"/>
    <w:pPr>
      <w:snapToGrid w:val="0"/>
      <w:spacing w:line="240" w:lineRule="atLeast"/>
      <w:ind w:firstLine="425"/>
      <w:jc w:val="both"/>
    </w:pPr>
    <w:rPr>
      <w:rFonts w:ascii="Minion Pro" w:eastAsia="Times New Roman" w:hAnsi="Minion Pro" w:cs="Times New Roman"/>
      <w:noProof/>
      <w:snapToGrid w:val="0"/>
      <w:color w:val="000000"/>
      <w:sz w:val="22"/>
      <w:szCs w:val="22"/>
      <w:lang w:eastAsia="de-DE" w:bidi="en-US"/>
    </w:rPr>
  </w:style>
  <w:style w:type="paragraph" w:customStyle="1" w:styleId="TSPtitle">
    <w:name w:val="TSP_title"/>
    <w:qFormat/>
    <w:rsid w:val="000F107F"/>
    <w:pPr>
      <w:adjustRightInd w:val="0"/>
      <w:snapToGrid w:val="0"/>
      <w:spacing w:before="240" w:after="240" w:line="240" w:lineRule="atLeast"/>
      <w:jc w:val="both"/>
    </w:pPr>
    <w:rPr>
      <w:rFonts w:ascii="Minion Pro" w:eastAsia="Times New Roman" w:hAnsi="Minion Pro" w:cs="Times New Roman"/>
      <w:b/>
      <w:snapToGrid w:val="0"/>
      <w:color w:val="000000"/>
      <w:sz w:val="28"/>
      <w:lang w:eastAsia="de-DE" w:bidi="en-US"/>
    </w:rPr>
  </w:style>
  <w:style w:type="paragraph" w:customStyle="1" w:styleId="MsoFootnoteText0">
    <w:name w:val="MsoFootnoteText"/>
    <w:basedOn w:val="NormalWeb"/>
    <w:qFormat/>
    <w:rsid w:val="000F107F"/>
    <w:pPr>
      <w:spacing w:before="0" w:beforeAutospacing="0" w:after="0" w:afterAutospacing="0" w:line="280" w:lineRule="atLeast"/>
      <w:jc w:val="both"/>
    </w:pPr>
    <w:rPr>
      <w:rFonts w:ascii="Times New Roman" w:eastAsia="宋体" w:hAnsi="Times New Roman" w:cs="Times New Roman"/>
      <w:color w:val="000000"/>
      <w:sz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tif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18</Pages>
  <Words>5170</Words>
  <Characters>29473</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CHY</dc:creator>
  <cp:lastModifiedBy>Tech Science Press</cp:lastModifiedBy>
  <cp:revision>3</cp:revision>
  <cp:lastPrinted>2026-01-27T01:04:00Z</cp:lastPrinted>
  <dcterms:created xsi:type="dcterms:W3CDTF">2026-02-05T16:46:00Z</dcterms:created>
  <dcterms:modified xsi:type="dcterms:W3CDTF">2026-03-20T03:22:00Z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d7478160-6d26-4371-9ec8-d78ad9a32927</vt:lpwstr>
  </property>
  <property fmtid="{D5CDD505-2E9C-101B-9397-08002B2CF9AE}" pid="3" name="KSOTemplateDocerSaveRecord">
    <vt:lpwstr>eyJoZGlkIjoiNGQzNmFmODQ1YWIwOTg1MjhlOTUyYjY3NDNjNjM1MDEiLCJ1c2VySWQiOiI4Nzk2MDk1MDQ4ODAwIn0=</vt:lpwstr>
  </property>
  <property fmtid="{D5CDD505-2E9C-101B-9397-08002B2CF9AE}" pid="4" name="KSOProductBuildVer">
    <vt:lpwstr>1033-12.1.0.25180</vt:lpwstr>
  </property>
  <property fmtid="{D5CDD505-2E9C-101B-9397-08002B2CF9AE}" pid="5" name="ICV">
    <vt:lpwstr>A8EDE949078B4A7B82C0ED57E58E004D_12</vt:lpwstr>
  </property>
</Properties>
</file>